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F6E8A" w14:textId="77777777" w:rsidR="00A321AD" w:rsidRDefault="00A321AD" w:rsidP="001203E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321AD" w14:paraId="41644285" w14:textId="77777777" w:rsidTr="00470201">
        <w:tc>
          <w:tcPr>
            <w:tcW w:w="4531" w:type="dxa"/>
          </w:tcPr>
          <w:p w14:paraId="77306757" w14:textId="77777777" w:rsidR="00A321AD" w:rsidRDefault="00A321AD" w:rsidP="001203E1"/>
        </w:tc>
        <w:tc>
          <w:tcPr>
            <w:tcW w:w="4531" w:type="dxa"/>
          </w:tcPr>
          <w:p w14:paraId="16F97230" w14:textId="77777777" w:rsidR="00DB055E" w:rsidRDefault="00DB055E" w:rsidP="001203E1"/>
          <w:p w14:paraId="7A9E5F65" w14:textId="77777777" w:rsidR="00DB055E" w:rsidRDefault="00DB055E" w:rsidP="001203E1"/>
          <w:p w14:paraId="28BE9C3B" w14:textId="35EBFC9D" w:rsidR="00A321AD" w:rsidRPr="004C660B" w:rsidRDefault="00A321AD" w:rsidP="001203E1">
            <w:pPr>
              <w:rPr>
                <w:b/>
                <w:sz w:val="20"/>
              </w:rPr>
            </w:pPr>
            <w:r w:rsidRPr="004C660B">
              <w:rPr>
                <w:sz w:val="20"/>
              </w:rPr>
              <w:t>Co</w:t>
            </w:r>
            <w:r w:rsidR="00D80FE2" w:rsidRPr="004C660B">
              <w:rPr>
                <w:sz w:val="20"/>
              </w:rPr>
              <w:t>mmuniqué de presse</w:t>
            </w:r>
            <w:r w:rsidR="00986E42" w:rsidRPr="004C660B">
              <w:rPr>
                <w:sz w:val="20"/>
              </w:rPr>
              <w:t>,</w:t>
            </w:r>
            <w:r w:rsidR="00D80FE2" w:rsidRPr="004C660B">
              <w:rPr>
                <w:sz w:val="20"/>
              </w:rPr>
              <w:t xml:space="preserve"> Paris</w:t>
            </w:r>
            <w:r w:rsidR="00757370" w:rsidRPr="004C660B">
              <w:rPr>
                <w:sz w:val="20"/>
              </w:rPr>
              <w:t>,</w:t>
            </w:r>
            <w:r w:rsidR="00BB20DD" w:rsidRPr="004C660B">
              <w:rPr>
                <w:sz w:val="20"/>
              </w:rPr>
              <w:t xml:space="preserve"> </w:t>
            </w:r>
            <w:r w:rsidR="004C660B" w:rsidRPr="004C660B">
              <w:rPr>
                <w:sz w:val="20"/>
              </w:rPr>
              <w:t>21</w:t>
            </w:r>
            <w:r w:rsidR="0059401D" w:rsidRPr="004C660B">
              <w:rPr>
                <w:sz w:val="20"/>
              </w:rPr>
              <w:t xml:space="preserve"> novembre</w:t>
            </w:r>
            <w:r w:rsidR="000E660D" w:rsidRPr="004C660B">
              <w:rPr>
                <w:sz w:val="20"/>
              </w:rPr>
              <w:t xml:space="preserve"> 2016</w:t>
            </w:r>
          </w:p>
          <w:p w14:paraId="337C44B2" w14:textId="77777777" w:rsidR="00A321AD" w:rsidRDefault="00A321AD" w:rsidP="001203E1"/>
        </w:tc>
      </w:tr>
    </w:tbl>
    <w:p w14:paraId="3E58CAB3" w14:textId="77777777" w:rsidR="002629E2" w:rsidRDefault="002629E2" w:rsidP="001203E1"/>
    <w:p w14:paraId="6F64FB75" w14:textId="77777777" w:rsidR="002629E2" w:rsidRPr="001203E1" w:rsidRDefault="002629E2" w:rsidP="001203E1">
      <w:pPr>
        <w:jc w:val="center"/>
        <w:rPr>
          <w:b/>
          <w:sz w:val="32"/>
        </w:rPr>
      </w:pPr>
      <w:r w:rsidRPr="001203E1">
        <w:rPr>
          <w:b/>
          <w:sz w:val="36"/>
        </w:rPr>
        <w:t>« Inventons la Métropole du Grand Paris »</w:t>
      </w:r>
      <w:r w:rsidR="001203E1" w:rsidRPr="001203E1">
        <w:rPr>
          <w:b/>
          <w:sz w:val="36"/>
        </w:rPr>
        <w:t> :</w:t>
      </w:r>
      <w:r w:rsidRPr="001203E1">
        <w:rPr>
          <w:b/>
          <w:sz w:val="36"/>
        </w:rPr>
        <w:br/>
      </w:r>
      <w:r w:rsidR="001203E1" w:rsidRPr="001203E1">
        <w:rPr>
          <w:b/>
          <w:sz w:val="32"/>
        </w:rPr>
        <w:t>- Publication de « portraits de territoires » sur 59 sites</w:t>
      </w:r>
      <w:r w:rsidR="001203E1" w:rsidRPr="001203E1">
        <w:rPr>
          <w:b/>
          <w:sz w:val="32"/>
        </w:rPr>
        <w:br/>
        <w:t>- Déjà 1000 inscrits dans les équipes pressenties</w:t>
      </w:r>
    </w:p>
    <w:p w14:paraId="100FADD2" w14:textId="77777777" w:rsidR="001203E1" w:rsidRPr="001203E1" w:rsidRDefault="001203E1" w:rsidP="001203E1"/>
    <w:p w14:paraId="448BFD92" w14:textId="5CB45537" w:rsidR="00744AD6" w:rsidRDefault="00DB39A4" w:rsidP="001203E1">
      <w:r>
        <w:t xml:space="preserve">1000 personnes </w:t>
      </w:r>
      <w:r w:rsidR="00744AD6">
        <w:t xml:space="preserve">se sont </w:t>
      </w:r>
      <w:r w:rsidR="003A0061">
        <w:t xml:space="preserve">déjà </w:t>
      </w:r>
      <w:r w:rsidR="00744AD6">
        <w:t>inscri</w:t>
      </w:r>
      <w:r w:rsidR="004C660B">
        <w:t>tes</w:t>
      </w:r>
      <w:r w:rsidR="003A0061">
        <w:t xml:space="preserve"> à ce jour</w:t>
      </w:r>
      <w:r w:rsidR="004C660B">
        <w:t>, en équipes, sur le site officiel de la consultation. Elles accèdent à toute la documentation sur les sit</w:t>
      </w:r>
      <w:r w:rsidR="00761708">
        <w:t>es, qui est désormais complète</w:t>
      </w:r>
      <w:r w:rsidR="004C660B">
        <w:t xml:space="preserve">, et </w:t>
      </w:r>
      <w:r w:rsidR="001A6535">
        <w:t xml:space="preserve">elles </w:t>
      </w:r>
      <w:r w:rsidR="004C660B">
        <w:t xml:space="preserve">préparent leurs réponses. </w:t>
      </w:r>
    </w:p>
    <w:p w14:paraId="0F1D4944" w14:textId="49BD1576" w:rsidR="001203E1" w:rsidRDefault="004C660B" w:rsidP="001203E1">
      <w:r>
        <w:t>Elles vont découvrir</w:t>
      </w:r>
      <w:r w:rsidR="005A77EC">
        <w:t xml:space="preserve"> en plus</w:t>
      </w:r>
      <w:r>
        <w:t xml:space="preserve"> à partir d’aujourd’</w:t>
      </w:r>
      <w:r w:rsidR="00495CAA">
        <w:t>hui</w:t>
      </w:r>
      <w:r>
        <w:t xml:space="preserve"> </w:t>
      </w:r>
      <w:r w:rsidR="00DB39A4">
        <w:t>59 « portraits de territoire » réalisés par l’Atelier parisien d’urbanisme</w:t>
      </w:r>
      <w:r w:rsidR="001308AF">
        <w:t xml:space="preserve"> (l’APUR)</w:t>
      </w:r>
      <w:r w:rsidR="007962B6">
        <w:t xml:space="preserve">, </w:t>
      </w:r>
      <w:r>
        <w:t xml:space="preserve">sur </w:t>
      </w:r>
      <w:hyperlink r:id="rId8" w:history="1">
        <w:r w:rsidRPr="008F7E59">
          <w:rPr>
            <w:rStyle w:val="Lienhypertexte"/>
          </w:rPr>
          <w:t>www.inventonslametropoledugrandparis.fr</w:t>
        </w:r>
      </w:hyperlink>
      <w:r>
        <w:rPr>
          <w:rStyle w:val="Lienhypertexte"/>
        </w:rPr>
        <w:t xml:space="preserve">. </w:t>
      </w:r>
      <w:r w:rsidR="00E26380">
        <w:t xml:space="preserve">En 12 pages, chaque portrait donne à voir </w:t>
      </w:r>
      <w:r w:rsidR="001203E1" w:rsidRPr="001203E1">
        <w:t>la situation urbaine actuelle de chaque site ainsi que les projets de transports en commun et les opérations d’aménagement situés dans un rayon de 1 à 2Km qui vont le transformer dans les dix ans à venir</w:t>
      </w:r>
      <w:r w:rsidR="00495CAA">
        <w:t>, et en particulier</w:t>
      </w:r>
      <w:r w:rsidR="001203E1" w:rsidRPr="001203E1">
        <w:t> :</w:t>
      </w:r>
    </w:p>
    <w:p w14:paraId="71905FF6" w14:textId="4D1FFBC5" w:rsidR="002629E2" w:rsidRPr="00495CAA" w:rsidRDefault="005201A7" w:rsidP="001203E1">
      <w:pPr>
        <w:pStyle w:val="Paragraphedeliste"/>
        <w:numPr>
          <w:ilvl w:val="0"/>
          <w:numId w:val="8"/>
        </w:numPr>
        <w:rPr>
          <w:sz w:val="22"/>
        </w:rPr>
      </w:pPr>
      <w:r w:rsidRPr="00495CAA">
        <w:rPr>
          <w:sz w:val="22"/>
        </w:rPr>
        <w:t xml:space="preserve">Le rayon d’action </w:t>
      </w:r>
      <w:r w:rsidR="00495CAA">
        <w:rPr>
          <w:sz w:val="22"/>
        </w:rPr>
        <w:t>par les</w:t>
      </w:r>
      <w:r w:rsidRPr="00495CAA">
        <w:rPr>
          <w:sz w:val="22"/>
        </w:rPr>
        <w:t xml:space="preserve"> transports en commun en 45 min</w:t>
      </w:r>
      <w:r w:rsidR="002629E2" w:rsidRPr="00495CAA">
        <w:rPr>
          <w:sz w:val="22"/>
        </w:rPr>
        <w:t>, avant et après l’arrivée du Grand Paris Express</w:t>
      </w:r>
      <w:r w:rsidR="002629E2" w:rsidRPr="00495CAA">
        <w:rPr>
          <w:rStyle w:val="Appelnotedebasdep"/>
          <w:sz w:val="20"/>
        </w:rPr>
        <w:footnoteReference w:id="1"/>
      </w:r>
      <w:r w:rsidR="002629E2" w:rsidRPr="00495CAA">
        <w:rPr>
          <w:sz w:val="22"/>
        </w:rPr>
        <w:t> ;</w:t>
      </w:r>
    </w:p>
    <w:p w14:paraId="4ABE4B4A" w14:textId="09063BF9" w:rsidR="002629E2" w:rsidRPr="00495CAA" w:rsidRDefault="002629E2" w:rsidP="001203E1">
      <w:pPr>
        <w:pStyle w:val="Paragraphedeliste"/>
        <w:numPr>
          <w:ilvl w:val="0"/>
          <w:numId w:val="8"/>
        </w:numPr>
        <w:rPr>
          <w:sz w:val="22"/>
        </w:rPr>
      </w:pPr>
      <w:r w:rsidRPr="00495CAA">
        <w:rPr>
          <w:sz w:val="22"/>
        </w:rPr>
        <w:t>Le</w:t>
      </w:r>
      <w:r w:rsidR="00495CAA">
        <w:rPr>
          <w:sz w:val="22"/>
        </w:rPr>
        <w:t xml:space="preserve">s données du </w:t>
      </w:r>
      <w:r w:rsidRPr="00495CAA">
        <w:rPr>
          <w:sz w:val="22"/>
        </w:rPr>
        <w:t>dynamisme de la construction</w:t>
      </w:r>
      <w:r w:rsidR="00495CAA">
        <w:rPr>
          <w:sz w:val="22"/>
        </w:rPr>
        <w:t xml:space="preserve"> local</w:t>
      </w:r>
      <w:r w:rsidRPr="00495CAA">
        <w:rPr>
          <w:sz w:val="22"/>
        </w:rPr>
        <w:t> ;</w:t>
      </w:r>
    </w:p>
    <w:p w14:paraId="015B3785" w14:textId="3857D869" w:rsidR="002629E2" w:rsidRPr="00495CAA" w:rsidRDefault="002629E2" w:rsidP="001203E1">
      <w:pPr>
        <w:pStyle w:val="Paragraphedeliste"/>
        <w:numPr>
          <w:ilvl w:val="0"/>
          <w:numId w:val="8"/>
        </w:numPr>
        <w:rPr>
          <w:sz w:val="22"/>
        </w:rPr>
      </w:pPr>
      <w:r w:rsidRPr="00495CAA">
        <w:rPr>
          <w:sz w:val="22"/>
        </w:rPr>
        <w:t>Tous les éléments de la vie urbaine : sociologie, centralités, insertion urbaine du site, densités ;</w:t>
      </w:r>
    </w:p>
    <w:p w14:paraId="236D906E" w14:textId="604F1D2D" w:rsidR="002629E2" w:rsidRPr="00495CAA" w:rsidRDefault="002629E2" w:rsidP="001203E1">
      <w:pPr>
        <w:pStyle w:val="Paragraphedeliste"/>
        <w:numPr>
          <w:ilvl w:val="0"/>
          <w:numId w:val="8"/>
        </w:numPr>
        <w:rPr>
          <w:sz w:val="22"/>
        </w:rPr>
      </w:pPr>
      <w:r w:rsidRPr="00495CAA">
        <w:rPr>
          <w:sz w:val="22"/>
        </w:rPr>
        <w:t>La mixité des fonctions actuelles du quartier ;</w:t>
      </w:r>
    </w:p>
    <w:p w14:paraId="3D4A9EC2" w14:textId="56E2A780" w:rsidR="002629E2" w:rsidRPr="00495CAA" w:rsidRDefault="00D778B6" w:rsidP="001203E1">
      <w:pPr>
        <w:pStyle w:val="Paragraphedeliste"/>
        <w:numPr>
          <w:ilvl w:val="0"/>
          <w:numId w:val="8"/>
        </w:numPr>
        <w:rPr>
          <w:sz w:val="22"/>
        </w:rPr>
      </w:pPr>
      <w:r w:rsidRPr="00495CAA">
        <w:rPr>
          <w:noProof/>
          <w:sz w:val="22"/>
        </w:rPr>
        <w:drawing>
          <wp:anchor distT="0" distB="0" distL="114300" distR="114300" simplePos="0" relativeHeight="251654144" behindDoc="0" locked="0" layoutInCell="1" allowOverlap="1" wp14:anchorId="4C1BB5AC" wp14:editId="20219326">
            <wp:simplePos x="0" y="0"/>
            <wp:positionH relativeFrom="column">
              <wp:posOffset>4194174</wp:posOffset>
            </wp:positionH>
            <wp:positionV relativeFrom="paragraph">
              <wp:posOffset>2541</wp:posOffset>
            </wp:positionV>
            <wp:extent cx="1943100" cy="2800350"/>
            <wp:effectExtent l="266700" t="171450" r="247650" b="171450"/>
            <wp:wrapThrough wrapText="bothSides">
              <wp:wrapPolygon edited="0">
                <wp:start x="-514" y="6"/>
                <wp:lineTo x="-432" y="4790"/>
                <wp:lineTo x="-1263" y="4905"/>
                <wp:lineTo x="-558" y="9602"/>
                <wp:lineTo x="-436" y="16778"/>
                <wp:lineTo x="-1266" y="16893"/>
                <wp:lineTo x="-354" y="20812"/>
                <wp:lineTo x="-147" y="21533"/>
                <wp:lineTo x="16092" y="21679"/>
                <wp:lineTo x="20411" y="21680"/>
                <wp:lineTo x="20619" y="21651"/>
                <wp:lineTo x="21865" y="21478"/>
                <wp:lineTo x="21784" y="13698"/>
                <wp:lineTo x="21951" y="11277"/>
                <wp:lineTo x="21663" y="1278"/>
                <wp:lineTo x="18424" y="-221"/>
                <wp:lineTo x="17553" y="-2498"/>
                <wp:lineTo x="525" y="-138"/>
                <wp:lineTo x="-514" y="6"/>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700" t="8819" r="49570" b="4762"/>
                    <a:stretch/>
                  </pic:blipFill>
                  <pic:spPr bwMode="auto">
                    <a:xfrm rot="677853">
                      <a:off x="0" y="0"/>
                      <a:ext cx="194310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CAA">
        <w:rPr>
          <w:sz w:val="22"/>
        </w:rPr>
        <w:t xml:space="preserve">Le verdissement </w:t>
      </w:r>
      <w:r w:rsidR="002629E2" w:rsidRPr="00495CAA">
        <w:rPr>
          <w:sz w:val="22"/>
        </w:rPr>
        <w:t xml:space="preserve">et les </w:t>
      </w:r>
      <w:r w:rsidR="00495CAA" w:rsidRPr="00495CAA">
        <w:rPr>
          <w:sz w:val="22"/>
        </w:rPr>
        <w:t>ilots</w:t>
      </w:r>
      <w:r w:rsidR="002629E2" w:rsidRPr="00495CAA">
        <w:rPr>
          <w:sz w:val="22"/>
        </w:rPr>
        <w:t xml:space="preserve"> de chaleur ;</w:t>
      </w:r>
    </w:p>
    <w:p w14:paraId="4AAA6E38" w14:textId="02F6F35B" w:rsidR="001534F0" w:rsidRDefault="00D778B6" w:rsidP="00495CAA">
      <w:pPr>
        <w:ind w:left="360"/>
      </w:pPr>
      <w:r>
        <w:rPr>
          <w:noProof/>
          <w:lang w:eastAsia="fr-FR"/>
        </w:rPr>
        <w:drawing>
          <wp:anchor distT="0" distB="0" distL="114300" distR="114300" simplePos="0" relativeHeight="251658240" behindDoc="1" locked="0" layoutInCell="1" allowOverlap="1" wp14:anchorId="089B0347" wp14:editId="7BB2BC38">
            <wp:simplePos x="0" y="0"/>
            <wp:positionH relativeFrom="margin">
              <wp:posOffset>-109220</wp:posOffset>
            </wp:positionH>
            <wp:positionV relativeFrom="paragraph">
              <wp:posOffset>321945</wp:posOffset>
            </wp:positionV>
            <wp:extent cx="1971675" cy="2781300"/>
            <wp:effectExtent l="342900" t="228600" r="314325" b="22860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233" t="9112" r="32541" b="5056"/>
                    <a:stretch/>
                  </pic:blipFill>
                  <pic:spPr bwMode="auto">
                    <a:xfrm rot="20687953">
                      <a:off x="0" y="0"/>
                      <a:ext cx="1971675" cy="2781300"/>
                    </a:xfrm>
                    <a:prstGeom prst="rect">
                      <a:avLst/>
                    </a:prstGeom>
                    <a:ln>
                      <a:noFill/>
                    </a:ln>
                    <a:extLst>
                      <a:ext uri="{53640926-AAD7-44D8-BBD7-CCE9431645EC}">
                        <a14:shadowObscured xmlns:a14="http://schemas.microsoft.com/office/drawing/2010/main"/>
                      </a:ext>
                    </a:extLst>
                  </pic:spPr>
                </pic:pic>
              </a:graphicData>
            </a:graphic>
          </wp:anchor>
        </w:drawing>
      </w:r>
      <w:r w:rsidR="00953D7B" w:rsidRPr="00495CAA">
        <w:rPr>
          <w:noProof/>
          <w:lang w:eastAsia="fr-FR"/>
        </w:rPr>
        <w:drawing>
          <wp:anchor distT="0" distB="0" distL="114300" distR="114300" simplePos="0" relativeHeight="251656192" behindDoc="0" locked="0" layoutInCell="1" allowOverlap="1" wp14:anchorId="74DEE359" wp14:editId="4EAECC6C">
            <wp:simplePos x="0" y="0"/>
            <wp:positionH relativeFrom="margin">
              <wp:posOffset>1005205</wp:posOffset>
            </wp:positionH>
            <wp:positionV relativeFrom="paragraph">
              <wp:posOffset>152400</wp:posOffset>
            </wp:positionV>
            <wp:extent cx="3962400" cy="2771775"/>
            <wp:effectExtent l="0" t="0" r="0" b="9525"/>
            <wp:wrapThrough wrapText="bothSides">
              <wp:wrapPolygon edited="0">
                <wp:start x="0" y="0"/>
                <wp:lineTo x="0" y="21526"/>
                <wp:lineTo x="21496" y="21526"/>
                <wp:lineTo x="21496"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369" t="8819" r="14848" b="5644"/>
                    <a:stretch/>
                  </pic:blipFill>
                  <pic:spPr bwMode="auto">
                    <a:xfrm>
                      <a:off x="0" y="0"/>
                      <a:ext cx="396240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33BFB" w14:textId="54B64272" w:rsidR="00594097" w:rsidRDefault="00594097" w:rsidP="001203E1"/>
    <w:p w14:paraId="1F30B34C" w14:textId="22C0C27B" w:rsidR="00594097" w:rsidRDefault="00594097" w:rsidP="001203E1"/>
    <w:p w14:paraId="2A5B3D68" w14:textId="47A638D9" w:rsidR="00594097" w:rsidRDefault="00594097" w:rsidP="001203E1"/>
    <w:p w14:paraId="094F8D9C" w14:textId="77777777" w:rsidR="00594097" w:rsidRDefault="00594097" w:rsidP="001203E1"/>
    <w:p w14:paraId="4BF85072" w14:textId="77777777" w:rsidR="00594097" w:rsidRDefault="00594097" w:rsidP="001203E1"/>
    <w:p w14:paraId="1032F6CA" w14:textId="77777777" w:rsidR="00594097" w:rsidRDefault="00594097" w:rsidP="001203E1"/>
    <w:p w14:paraId="0E3260E7" w14:textId="77777777" w:rsidR="00594097" w:rsidRDefault="00594097" w:rsidP="001203E1"/>
    <w:p w14:paraId="3DBC3644" w14:textId="77777777" w:rsidR="00594097" w:rsidRDefault="00594097" w:rsidP="001203E1"/>
    <w:p w14:paraId="787A98F4" w14:textId="77777777" w:rsidR="00594097" w:rsidRDefault="00594097" w:rsidP="001203E1"/>
    <w:p w14:paraId="124AC912" w14:textId="77777777" w:rsidR="00594097" w:rsidRDefault="00594097" w:rsidP="001203E1"/>
    <w:p w14:paraId="5A1077E7" w14:textId="77777777" w:rsidR="002629E2" w:rsidRDefault="002629E2" w:rsidP="001203E1">
      <w:r>
        <w:lastRenderedPageBreak/>
        <w:t xml:space="preserve">Ces thèmes sont autant d’invitations à innover dans les usages des bâtiments (mixité fonctionnelle, adaptabilité des usages…), </w:t>
      </w:r>
      <w:r w:rsidR="00DE06CC">
        <w:t>et de les</w:t>
      </w:r>
      <w:r w:rsidR="005201A7">
        <w:t xml:space="preserve"> adapter au</w:t>
      </w:r>
      <w:r>
        <w:t xml:space="preserve"> changement climatique</w:t>
      </w:r>
      <w:r w:rsidR="00DE06CC">
        <w:t xml:space="preserve"> qui vient</w:t>
      </w:r>
      <w:r>
        <w:t>. Ces données sont aussi une précieuse source d’information pour les investisseurs, architectes, urbanistes</w:t>
      </w:r>
      <w:r w:rsidR="00CF33D4">
        <w:t xml:space="preserve">, promoteurs </w:t>
      </w:r>
      <w:r>
        <w:t>ou encore PME</w:t>
      </w:r>
      <w:r w:rsidR="00CF33D4">
        <w:t>, start-ups</w:t>
      </w:r>
      <w:r>
        <w:t xml:space="preserve"> et associations de la vie urbaine appelés à former des groupements pour candidater. Le modèle unique utilisé pour ces </w:t>
      </w:r>
      <w:r w:rsidR="00F8106F" w:rsidRPr="00CA587A">
        <w:t>portraits</w:t>
      </w:r>
      <w:r w:rsidRPr="00CA587A">
        <w:t xml:space="preserve"> assure une prise en main rapide par les candidats potentiels et </w:t>
      </w:r>
      <w:r w:rsidR="00F91037" w:rsidRPr="005201A7">
        <w:t>traduit la cohérence de l’action métropolitaine</w:t>
      </w:r>
      <w:r w:rsidRPr="00CA587A">
        <w:t xml:space="preserve"> </w:t>
      </w:r>
      <w:r w:rsidR="00F91037" w:rsidRPr="005201A7">
        <w:t xml:space="preserve">à travers </w:t>
      </w:r>
      <w:r w:rsidRPr="00CA587A">
        <w:t>la mise en valeur de tous les sites, où qu’ils se trouvent.</w:t>
      </w:r>
    </w:p>
    <w:p w14:paraId="44D4B3E2" w14:textId="77777777" w:rsidR="001203E1" w:rsidRPr="00CA587A" w:rsidRDefault="001203E1" w:rsidP="001203E1"/>
    <w:p w14:paraId="2F05AC36" w14:textId="77777777" w:rsidR="002629E2" w:rsidRPr="001203E1" w:rsidRDefault="002629E2" w:rsidP="001203E1">
      <w:pPr>
        <w:rPr>
          <w:b/>
          <w:sz w:val="28"/>
        </w:rPr>
      </w:pPr>
      <w:r w:rsidRPr="001203E1">
        <w:rPr>
          <w:b/>
          <w:sz w:val="28"/>
        </w:rPr>
        <w:t>59 sites à remporter</w:t>
      </w:r>
    </w:p>
    <w:p w14:paraId="07AC558F" w14:textId="77777777" w:rsidR="00482415" w:rsidRDefault="002629E2" w:rsidP="001203E1">
      <w:r>
        <w:t xml:space="preserve">La consultation </w:t>
      </w:r>
      <w:r w:rsidR="00F91037">
        <w:t xml:space="preserve">de l’appel à projets </w:t>
      </w:r>
      <w:r>
        <w:t xml:space="preserve">« Inventons la Métropole du Grand Paris » est entrée dans sa phase opérationnelle le 10 octobre dernier, </w:t>
      </w:r>
      <w:r w:rsidR="00B77926">
        <w:t>lors d’</w:t>
      </w:r>
      <w:r>
        <w:t>un événement de lancement exceptionnel qui a rassemblé plus de 1600 personnes</w:t>
      </w:r>
      <w:r w:rsidR="00F91037">
        <w:t xml:space="preserve"> et permis de dévoiler les sites retenus.</w:t>
      </w:r>
      <w:r>
        <w:t xml:space="preserve"> </w:t>
      </w:r>
      <w:r w:rsidR="00F91037">
        <w:t xml:space="preserve">Répartis sur tout le territoire de la métropole, ces 59 sites offrent un potentiel extraordinaire d’invention des nouvelles formes urbaines. </w:t>
      </w:r>
    </w:p>
    <w:p w14:paraId="795AFC6D" w14:textId="77777777" w:rsidR="00F91037" w:rsidRDefault="00F91037" w:rsidP="001203E1">
      <w:r>
        <w:t xml:space="preserve">Ils se concentrent d’abord sur les </w:t>
      </w:r>
      <w:r w:rsidRPr="00B41093">
        <w:rPr>
          <w:b/>
        </w:rPr>
        <w:t>quartiers qui accueilleront les futurs transports en commun</w:t>
      </w:r>
      <w:r>
        <w:t>, pour 27 d’entre eux dont 21 directement sur le Grand Paris Express. D’autres sites portent aussi de forts enjeux patrimoniaux tels que les forts d’Aubervilliers, de Romainville, de la Redoute des Hautes-Bruyères… qui ont assuré la défense de Paris au cours des siècles passés.</w:t>
      </w:r>
      <w:r w:rsidRPr="00F91037">
        <w:rPr>
          <w:b/>
        </w:rPr>
        <w:t xml:space="preserve"> </w:t>
      </w:r>
      <w:r w:rsidRPr="00D53CC1">
        <w:rPr>
          <w:b/>
        </w:rPr>
        <w:t>D’autres sites sont des</w:t>
      </w:r>
      <w:r>
        <w:t xml:space="preserve"> </w:t>
      </w:r>
      <w:r w:rsidRPr="00D56D17">
        <w:rPr>
          <w:b/>
        </w:rPr>
        <w:t>histoires à écrire de la mutation urbaine</w:t>
      </w:r>
      <w:r>
        <w:t xml:space="preserve"> de la métropole du XXIème siècle : des friches industrielles, comme Babcock à La Courneuve ou l’ancienne usine EIF sur le Mur à Pêches à Montreuil, le site mythique de l’ENS à Cachan.</w:t>
      </w:r>
      <w:r w:rsidR="005201A7" w:rsidRPr="005201A7">
        <w:t xml:space="preserve"> </w:t>
      </w:r>
      <w:r w:rsidR="005201A7">
        <w:t>Les entreprises trouveront une grande variété de sites qui permettent à des profils différents de candidater.</w:t>
      </w:r>
    </w:p>
    <w:p w14:paraId="3292EB9E" w14:textId="77777777" w:rsidR="001203E1" w:rsidRDefault="001203E1" w:rsidP="001203E1"/>
    <w:p w14:paraId="4965D65A" w14:textId="77777777" w:rsidR="002C1F11" w:rsidRPr="001203E1" w:rsidRDefault="001203E1" w:rsidP="001203E1">
      <w:pPr>
        <w:rPr>
          <w:b/>
          <w:sz w:val="28"/>
        </w:rPr>
      </w:pPr>
      <w:r w:rsidRPr="001203E1">
        <w:rPr>
          <w:b/>
          <w:sz w:val="28"/>
        </w:rPr>
        <w:t>Focus entreprises</w:t>
      </w:r>
    </w:p>
    <w:p w14:paraId="4338905B" w14:textId="77777777" w:rsidR="002F7072" w:rsidRPr="001203E1" w:rsidRDefault="002F7072" w:rsidP="001203E1">
      <w:pPr>
        <w:pStyle w:val="Paragraphedeliste"/>
        <w:numPr>
          <w:ilvl w:val="0"/>
          <w:numId w:val="9"/>
        </w:numPr>
        <w:rPr>
          <w:b/>
          <w:u w:val="single"/>
        </w:rPr>
      </w:pPr>
      <w:r w:rsidRPr="001203E1">
        <w:rPr>
          <w:b/>
          <w:u w:val="single"/>
        </w:rPr>
        <w:t>Se renseigner</w:t>
      </w:r>
    </w:p>
    <w:p w14:paraId="6C06C52D" w14:textId="3DD6C0BF" w:rsidR="002F7072" w:rsidRDefault="002F7072" w:rsidP="001203E1">
      <w:r>
        <w:t xml:space="preserve">Une dataroom hébergeant les dossiers de chacun des sites est accessible sur inscription aux entreprises candidates sur le site de la consultation. </w:t>
      </w:r>
      <w:r w:rsidR="00D807FF">
        <w:t>L</w:t>
      </w:r>
      <w:r>
        <w:t>es communes qui proposent ces sites à la consultation organisent tout le mois de novembre des visites de terrain (inscriptions sur le site de la consultation).</w:t>
      </w:r>
      <w:r w:rsidRPr="00F91037">
        <w:t xml:space="preserve"> </w:t>
      </w:r>
      <w:r>
        <w:t>Pour gagner, les équipes devront rivaliser d’innovation et former des groupements de talents qui correspondent aux enjeux de ces sites et aux pistes d’innovation qu’elles proposent.</w:t>
      </w:r>
    </w:p>
    <w:p w14:paraId="2BB6A0CC" w14:textId="77777777" w:rsidR="002F7072" w:rsidRPr="001203E1" w:rsidRDefault="002F7072" w:rsidP="001203E1">
      <w:pPr>
        <w:pStyle w:val="Paragraphedeliste"/>
        <w:numPr>
          <w:ilvl w:val="0"/>
          <w:numId w:val="9"/>
        </w:numPr>
        <w:rPr>
          <w:b/>
          <w:u w:val="single"/>
        </w:rPr>
      </w:pPr>
      <w:r w:rsidRPr="001203E1">
        <w:rPr>
          <w:b/>
          <w:u w:val="single"/>
        </w:rPr>
        <w:t>Se financer</w:t>
      </w:r>
    </w:p>
    <w:p w14:paraId="18438715" w14:textId="77777777" w:rsidR="002F7072" w:rsidRDefault="002F7072" w:rsidP="001203E1">
      <w:r>
        <w:t xml:space="preserve">Les équipes pourront être aidées financièrement par la puissance publique : l’Etat apporte en effet 100M€ de financements au titre du programme des investissements d’avenir (PIA « ville de demain ») et la Caisse des Dépôts 100M€ de plus, pour soutenir en fonds propres les Sociétés de Projet. </w:t>
      </w:r>
    </w:p>
    <w:p w14:paraId="6A9BF2C5" w14:textId="71C56B9A" w:rsidR="002F7072" w:rsidRPr="001203E1" w:rsidRDefault="00D807FF" w:rsidP="001203E1">
      <w:pPr>
        <w:pStyle w:val="Paragraphedeliste"/>
        <w:numPr>
          <w:ilvl w:val="0"/>
          <w:numId w:val="9"/>
        </w:numPr>
        <w:rPr>
          <w:b/>
          <w:u w:val="single"/>
        </w:rPr>
      </w:pPr>
      <w:r>
        <w:rPr>
          <w:b/>
          <w:u w:val="single"/>
        </w:rPr>
        <w:t>Candidater</w:t>
      </w:r>
    </w:p>
    <w:p w14:paraId="7BBD722A" w14:textId="583A46EB" w:rsidR="002F7072" w:rsidRDefault="002F7072" w:rsidP="001203E1">
      <w:r>
        <w:t xml:space="preserve">Les entreprises sont invitées à candidater sur un maximum de sites, concurrence sur les sites oblige. Elles soumettront leurs dossiers de candidatures avant le 13 janvier prochain pour une sélection par un premier jury de 3 groupements par site, seuls habilités à concourir jusqu’au bout. Les lauréats finaux seront connus en septembre 2017 pour la plupart d’entre eux et en novembre pour les sites les plus complexes. </w:t>
      </w:r>
    </w:p>
    <w:p w14:paraId="4EBF8128" w14:textId="4549A922" w:rsidR="002F7072" w:rsidRDefault="002F7072">
      <w:pPr>
        <w:spacing w:line="276" w:lineRule="auto"/>
        <w:jc w:val="left"/>
      </w:pPr>
    </w:p>
    <w:p w14:paraId="54F248DC" w14:textId="23280D4B" w:rsidR="005E1DE1" w:rsidRDefault="005E1DE1" w:rsidP="001203E1">
      <w:r w:rsidRPr="00744AD6">
        <w:rPr>
          <w:b/>
        </w:rPr>
        <w:t xml:space="preserve">A propos d’Inventons la Métropole du Grand Paris : </w:t>
      </w:r>
      <w:bookmarkStart w:id="0" w:name="_GoBack"/>
      <w:bookmarkEnd w:id="0"/>
      <w:r w:rsidRPr="001203E1">
        <w:t xml:space="preserve">Inventons la Métropole du Grand Paris est un appel à projets international de développement de la qualité de vie urbaine, afin d’inventer de nouveaux espaces innovants, modèles de la ville durable et intelligente. </w:t>
      </w:r>
      <w:r w:rsidR="00B67536" w:rsidRPr="001203E1">
        <w:t>L’appel à projet</w:t>
      </w:r>
      <w:r w:rsidR="00496D91" w:rsidRPr="001203E1">
        <w:t>s</w:t>
      </w:r>
      <w:r w:rsidR="00B67536" w:rsidRPr="001203E1">
        <w:t xml:space="preserve"> vise à construire collectivement une métropole résiliente, innovante et durable. Les maires de la métropole ont présenté des terrains dont ils maîtrisent le foncier afin de les céder aux entreprises acquéreuses porteuses des meilleurs projets, après décision d’un jury fin 2017.</w:t>
      </w:r>
    </w:p>
    <w:p w14:paraId="1065A8F5" w14:textId="5C483F24" w:rsidR="001203E1" w:rsidRDefault="00D807FF" w:rsidP="00D807FF">
      <w:pPr>
        <w:jc w:val="center"/>
      </w:pPr>
      <w:r>
        <w:lastRenderedPageBreak/>
        <w:t>***</w:t>
      </w:r>
    </w:p>
    <w:p w14:paraId="7A6372AC" w14:textId="77777777" w:rsidR="00D807FF" w:rsidRDefault="00D807FF" w:rsidP="00D807FF">
      <w:pPr>
        <w:rPr>
          <w:b/>
        </w:rPr>
      </w:pPr>
      <w:r>
        <w:rPr>
          <w:b/>
        </w:rPr>
        <w:t>A propos de la Métropole du Grand Paris :</w:t>
      </w:r>
    </w:p>
    <w:p w14:paraId="54333688" w14:textId="77777777" w:rsidR="00D807FF" w:rsidRDefault="00D807FF" w:rsidP="00D807FF">
      <w:pPr>
        <w:rPr>
          <w:i/>
          <w:sz w:val="20"/>
          <w:szCs w:val="20"/>
        </w:rPr>
      </w:pPr>
      <w:r>
        <w:rPr>
          <w:rFonts w:asciiTheme="majorHAnsi" w:hAnsiTheme="majorHAnsi"/>
          <w:i/>
          <w:sz w:val="20"/>
          <w:szCs w:val="20"/>
        </w:rPr>
        <w:t>La Métropole du Grand Paris, créée le 1</w:t>
      </w:r>
      <w:r>
        <w:rPr>
          <w:rFonts w:asciiTheme="majorHAnsi" w:hAnsiTheme="majorHAnsi"/>
          <w:i/>
          <w:sz w:val="20"/>
          <w:szCs w:val="20"/>
          <w:vertAlign w:val="superscript"/>
        </w:rPr>
        <w:t>er</w:t>
      </w:r>
      <w:r>
        <w:rPr>
          <w:rFonts w:asciiTheme="majorHAnsi" w:hAnsiTheme="majorHAnsi"/>
          <w:i/>
          <w:sz w:val="20"/>
          <w:szCs w:val="20"/>
        </w:rPr>
        <w:t xml:space="preserve"> Janvier 2016, est un établissement public de coopération intercommunale, présidé par Patrick Ollier, et qui rassemble 131 communes (Paris, les communes des 3 départements de la petite couronne, Argenteuil, et les communes de la communauté d’agglomération Les Portes de l’Essonne dans le 91). En tout, la métropole rassemble 7 millions d’habitants, ce qui en fait la plus importante métropole française. La Métropole du Grand Paris a pour vocation de gérer au niveau intercommunal les 4 compétences suivantes : </w:t>
      </w:r>
    </w:p>
    <w:p w14:paraId="4BBFD799" w14:textId="77777777" w:rsidR="00D807FF" w:rsidRDefault="00D807FF" w:rsidP="00D807FF">
      <w:pPr>
        <w:pStyle w:val="Paragraphedeliste"/>
        <w:numPr>
          <w:ilvl w:val="1"/>
          <w:numId w:val="11"/>
        </w:numPr>
        <w:spacing w:after="160" w:line="256" w:lineRule="auto"/>
        <w:rPr>
          <w:rFonts w:asciiTheme="majorHAnsi" w:hAnsiTheme="majorHAnsi"/>
          <w:i/>
          <w:sz w:val="20"/>
          <w:szCs w:val="20"/>
        </w:rPr>
      </w:pPr>
      <w:r>
        <w:rPr>
          <w:rFonts w:asciiTheme="majorHAnsi" w:hAnsiTheme="majorHAnsi"/>
          <w:i/>
          <w:sz w:val="20"/>
          <w:szCs w:val="20"/>
        </w:rPr>
        <w:t xml:space="preserve">le développement et l'aménagement économique, social et culturel </w:t>
      </w:r>
    </w:p>
    <w:p w14:paraId="19BEDA68" w14:textId="77777777" w:rsidR="00D807FF" w:rsidRDefault="00D807FF" w:rsidP="00D807FF">
      <w:pPr>
        <w:pStyle w:val="Paragraphedeliste"/>
        <w:numPr>
          <w:ilvl w:val="1"/>
          <w:numId w:val="11"/>
        </w:numPr>
        <w:spacing w:after="160" w:line="256" w:lineRule="auto"/>
        <w:rPr>
          <w:rFonts w:asciiTheme="majorHAnsi" w:hAnsiTheme="majorHAnsi"/>
          <w:i/>
          <w:sz w:val="20"/>
          <w:szCs w:val="20"/>
        </w:rPr>
      </w:pPr>
      <w:r>
        <w:rPr>
          <w:rFonts w:asciiTheme="majorHAnsi" w:hAnsiTheme="majorHAnsi"/>
          <w:i/>
          <w:sz w:val="20"/>
          <w:szCs w:val="20"/>
        </w:rPr>
        <w:t xml:space="preserve">la protection et la mise en valeur de l'environnement et la politique du cadre de vie </w:t>
      </w:r>
    </w:p>
    <w:p w14:paraId="49CD88BE" w14:textId="77777777" w:rsidR="00D807FF" w:rsidRDefault="00D807FF" w:rsidP="00D807FF">
      <w:pPr>
        <w:pStyle w:val="Paragraphedeliste"/>
        <w:numPr>
          <w:ilvl w:val="1"/>
          <w:numId w:val="11"/>
        </w:numPr>
        <w:spacing w:after="160" w:line="256" w:lineRule="auto"/>
        <w:rPr>
          <w:rFonts w:asciiTheme="majorHAnsi" w:hAnsiTheme="majorHAnsi"/>
          <w:i/>
          <w:sz w:val="20"/>
          <w:szCs w:val="20"/>
        </w:rPr>
      </w:pPr>
      <w:r>
        <w:rPr>
          <w:rFonts w:asciiTheme="majorHAnsi" w:hAnsiTheme="majorHAnsi"/>
          <w:i/>
          <w:sz w:val="20"/>
          <w:szCs w:val="20"/>
        </w:rPr>
        <w:t>l'aménagement de l'espace métropolitain  (à partir du 1er janvier 2017)</w:t>
      </w:r>
    </w:p>
    <w:p w14:paraId="6D03CD5E" w14:textId="77777777" w:rsidR="00D807FF" w:rsidRDefault="00D807FF" w:rsidP="00D807FF">
      <w:pPr>
        <w:pStyle w:val="Paragraphedeliste"/>
        <w:numPr>
          <w:ilvl w:val="1"/>
          <w:numId w:val="11"/>
        </w:numPr>
        <w:spacing w:after="160" w:line="256" w:lineRule="auto"/>
        <w:rPr>
          <w:rFonts w:asciiTheme="majorHAnsi" w:hAnsiTheme="majorHAnsi"/>
          <w:i/>
          <w:sz w:val="20"/>
          <w:szCs w:val="20"/>
        </w:rPr>
      </w:pPr>
      <w:r>
        <w:rPr>
          <w:rFonts w:asciiTheme="majorHAnsi" w:hAnsiTheme="majorHAnsi"/>
          <w:i/>
          <w:sz w:val="20"/>
          <w:szCs w:val="20"/>
        </w:rPr>
        <w:t>la politique locale de l'habitat  (à partir du 1er janvier 2017)</w:t>
      </w:r>
    </w:p>
    <w:p w14:paraId="45EA8203" w14:textId="77777777" w:rsidR="00D807FF" w:rsidRDefault="00D807FF" w:rsidP="00D807FF">
      <w:pPr>
        <w:rPr>
          <w:b/>
        </w:rPr>
      </w:pPr>
      <w:r>
        <w:rPr>
          <w:b/>
        </w:rPr>
        <w:t>A propos de la Préfecture de Paris et d’Ile-de-France</w:t>
      </w:r>
    </w:p>
    <w:p w14:paraId="508A9876" w14:textId="77777777" w:rsidR="00D807FF" w:rsidRDefault="00D807FF" w:rsidP="00D807FF">
      <w:pPr>
        <w:rPr>
          <w:rFonts w:asciiTheme="majorHAnsi" w:hAnsiTheme="majorHAnsi"/>
          <w:i/>
          <w:sz w:val="20"/>
          <w:szCs w:val="20"/>
        </w:rPr>
      </w:pPr>
      <w:r>
        <w:rPr>
          <w:rFonts w:asciiTheme="majorHAnsi" w:hAnsiTheme="majorHAnsi"/>
          <w:i/>
          <w:sz w:val="20"/>
          <w:szCs w:val="20"/>
        </w:rPr>
        <w:t xml:space="preserve">La Préfecture de région Ile-de-France dispose de compétences élargies dans les domaines de l’aménagement, de l’urbanisme et du développement régional. Elle met en œuvre la politique voulue par le gouvernement dans la construction du Grand Paris et organisée dans les lois qui sont intervenues sur le Grand Paris entre 2010 et 2015. A ce titre 100 millions d’euros de l’État seront engagés dans cet appel à projets grâce au Programme des investissements d’avenir (PIA) pour promouvoir les quartiers des gares du Grand Paris Express, véritables « hubs » internationaux. En matière d’aménagement, des projets concrets sont en train d’être mis en place sur tout le territoire francilien pour développer des secteurs prioritaires : 8 Contrats d’intérêt national (CIN) auront été engagés en Ile de France en 2016. L’État aménage et définit ainsi une stratégie de développement pour cette région, porteuse d’engagements concernant les transports, le développement économique ou encore l’aménagement urbain. </w:t>
      </w:r>
    </w:p>
    <w:p w14:paraId="7624FE27" w14:textId="71C3325E" w:rsidR="00D807FF" w:rsidRDefault="00D807FF" w:rsidP="00D807FF">
      <w:pPr>
        <w:rPr>
          <w:b/>
        </w:rPr>
      </w:pPr>
      <w:r>
        <w:rPr>
          <w:b/>
        </w:rPr>
        <w:t>A propos de la Société du Grand Paris</w:t>
      </w:r>
    </w:p>
    <w:p w14:paraId="74E51EBB" w14:textId="77777777" w:rsidR="00452DEE" w:rsidRPr="00452DEE" w:rsidRDefault="00452DEE" w:rsidP="00452DEE">
      <w:pPr>
        <w:rPr>
          <w:rFonts w:asciiTheme="majorHAnsi" w:hAnsiTheme="majorHAnsi"/>
          <w:i/>
          <w:sz w:val="20"/>
          <w:szCs w:val="20"/>
        </w:rPr>
      </w:pPr>
      <w:r w:rsidRPr="00452DEE">
        <w:rPr>
          <w:rFonts w:asciiTheme="majorHAnsi" w:hAnsiTheme="majorHAnsi"/>
          <w:i/>
          <w:sz w:val="20"/>
          <w:szCs w:val="20"/>
        </w:rPr>
        <w:t>La Société du Grand Paris, établissement de l’État, pilote le déploiement et le financement du Grand Paris Express. Elle assure la construction des infrastructures de transports et l’acquisition des matériels roulants. Elle conduit des opérations d’aménagement et de construction sur les territoires de communes concernées par le Grand Paris Express. Inventer les chantiers de demain, faire du Grand Paris Express le métro le plus digital du monde, imaginer les futures gares et leurs quartiers, créer des nouveaux services de proximité… Autant de défis à relever pour la Société du Grand Paris, mais aussi par les principaux acteurs du projet, les Franciliens.</w:t>
      </w:r>
    </w:p>
    <w:p w14:paraId="1CCAEE9B" w14:textId="77777777" w:rsidR="00D807FF" w:rsidRDefault="00D807FF" w:rsidP="00D807FF">
      <w:pPr>
        <w:rPr>
          <w:rFonts w:asciiTheme="majorHAnsi" w:hAnsiTheme="majorHAnsi" w:cs="Times New Roman"/>
          <w:i/>
          <w:sz w:val="20"/>
          <w:szCs w:val="20"/>
        </w:rPr>
      </w:pPr>
      <w:r>
        <w:rPr>
          <w:rFonts w:cs="Times New Roman"/>
          <w:b/>
        </w:rPr>
        <w:t>A propos de la Caisse des Dépôts</w:t>
      </w:r>
    </w:p>
    <w:p w14:paraId="26875F76" w14:textId="77777777" w:rsidR="00452DEE" w:rsidRDefault="00452DEE" w:rsidP="00452DEE">
      <w:pPr>
        <w:rPr>
          <w:rFonts w:asciiTheme="majorHAnsi" w:hAnsiTheme="majorHAnsi" w:cs="Times New Roman"/>
          <w:i/>
          <w:sz w:val="20"/>
          <w:szCs w:val="20"/>
        </w:rPr>
      </w:pPr>
      <w:r>
        <w:rPr>
          <w:rFonts w:asciiTheme="majorHAnsi" w:hAnsiTheme="majorHAnsi" w:cs="Times New Roman"/>
          <w:i/>
          <w:sz w:val="20"/>
          <w:szCs w:val="20"/>
        </w:rPr>
        <w:t xml:space="preserve">La Caisse des Dépôts et ses filiales constituent un groupe public, investisseur de long terme au service de l’intérêt général et du développement économique des territoires. Sa mission a été réaffirmée par la loi de modernisation de l’économie du 4 août 2008. </w:t>
      </w:r>
    </w:p>
    <w:p w14:paraId="42ADEC87" w14:textId="6AC00573" w:rsidR="00452DEE" w:rsidRDefault="00452DEE" w:rsidP="00452DEE">
      <w:pPr>
        <w:rPr>
          <w:rFonts w:asciiTheme="majorHAnsi" w:hAnsiTheme="majorHAnsi" w:cs="Times New Roman"/>
          <w:i/>
          <w:sz w:val="20"/>
          <w:szCs w:val="20"/>
        </w:rPr>
      </w:pPr>
      <w:r w:rsidRPr="00452DEE">
        <w:rPr>
          <w:rFonts w:asciiTheme="majorHAnsi" w:hAnsiTheme="majorHAnsi" w:cs="Times New Roman"/>
          <w:i/>
          <w:sz w:val="20"/>
          <w:szCs w:val="20"/>
        </w:rPr>
        <w:t>La Caisse des Dépôts concentre son action sur quatre transitions stratégiques pour le développement à long terme de la France : les transitions territoriale, écologique et énergétique, numérique, démographique et sociale. A ce titre elle est l’opérateur de l’Etat pour certains volets du Programme des investissements d’avenir (PIA) que l’Etat a mis en place pour financer des investissements innovants et prometteurs sur le territoire. La caisse des dépôts gère ainsi 13,7 des 47 milliards d’euros du PIA.</w:t>
      </w:r>
    </w:p>
    <w:p w14:paraId="60DA337D" w14:textId="77777777" w:rsidR="009956F7" w:rsidRDefault="009956F7" w:rsidP="00744AD6">
      <w:pPr>
        <w:jc w:val="center"/>
      </w:pPr>
      <w:r w:rsidRPr="00744AD6">
        <w:rPr>
          <w:b/>
          <w:u w:val="single"/>
        </w:rPr>
        <w:t>Contacts presse</w:t>
      </w:r>
      <w:r w:rsidRPr="00E25802">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663"/>
        <w:gridCol w:w="2454"/>
      </w:tblGrid>
      <w:tr w:rsidR="009956F7" w:rsidRPr="003711E0" w14:paraId="75F95CD7" w14:textId="77777777" w:rsidTr="007B33A1">
        <w:tc>
          <w:tcPr>
            <w:tcW w:w="3402" w:type="dxa"/>
          </w:tcPr>
          <w:p w14:paraId="79EA340E" w14:textId="77777777" w:rsidR="009956F7" w:rsidRPr="00744AD6" w:rsidRDefault="009956F7" w:rsidP="00744AD6">
            <w:pPr>
              <w:jc w:val="center"/>
              <w:rPr>
                <w:b/>
                <w:noProof/>
                <w:lang w:eastAsia="fr-FR"/>
              </w:rPr>
            </w:pPr>
            <w:r w:rsidRPr="00744AD6">
              <w:rPr>
                <w:b/>
                <w:noProof/>
                <w:lang w:eastAsia="fr-FR"/>
              </w:rPr>
              <w:t>Préfecture</w:t>
            </w:r>
          </w:p>
          <w:p w14:paraId="28DBFD97" w14:textId="77777777" w:rsidR="009956F7" w:rsidRPr="003711E0" w:rsidRDefault="009956F7" w:rsidP="00744AD6">
            <w:pPr>
              <w:jc w:val="center"/>
              <w:rPr>
                <w:b/>
                <w:sz w:val="16"/>
                <w:szCs w:val="18"/>
              </w:rPr>
            </w:pPr>
            <w:r w:rsidRPr="003711E0">
              <w:rPr>
                <w:noProof/>
                <w:sz w:val="16"/>
                <w:szCs w:val="18"/>
                <w:lang w:eastAsia="fr-FR"/>
              </w:rPr>
              <w:t>01 82 52 40 25 /</w:t>
            </w:r>
            <w:r w:rsidRPr="003711E0">
              <w:rPr>
                <w:sz w:val="16"/>
                <w:szCs w:val="18"/>
              </w:rPr>
              <w:t xml:space="preserve"> </w:t>
            </w:r>
            <w:hyperlink r:id="rId12" w:anchor="_blank" w:history="1">
              <w:r w:rsidRPr="003711E0">
                <w:rPr>
                  <w:rStyle w:val="lieninternet"/>
                  <w:color w:val="0000FF"/>
                  <w:sz w:val="16"/>
                  <w:szCs w:val="18"/>
                  <w:bdr w:val="none" w:sz="0" w:space="0" w:color="auto" w:frame="1"/>
                </w:rPr>
                <w:t>pref-communication@paris.gouv.fr</w:t>
              </w:r>
            </w:hyperlink>
            <w:r w:rsidRPr="003711E0">
              <w:rPr>
                <w:i/>
                <w:iCs/>
                <w:sz w:val="16"/>
                <w:szCs w:val="18"/>
              </w:rPr>
              <w:br/>
            </w:r>
            <w:hyperlink r:id="rId13" w:history="1">
              <w:r w:rsidRPr="003711E0">
                <w:rPr>
                  <w:rStyle w:val="Lienhypertexte"/>
                  <w:i/>
                  <w:iCs/>
                  <w:sz w:val="16"/>
                  <w:szCs w:val="18"/>
                </w:rPr>
                <w:t>http://www.prefectures-regions.gouv.fr/ile-de-france</w:t>
              </w:r>
            </w:hyperlink>
          </w:p>
        </w:tc>
        <w:tc>
          <w:tcPr>
            <w:tcW w:w="2663" w:type="dxa"/>
          </w:tcPr>
          <w:p w14:paraId="1A9C511D" w14:textId="77777777" w:rsidR="009956F7" w:rsidRPr="003711E0" w:rsidRDefault="009956F7" w:rsidP="00744AD6">
            <w:pPr>
              <w:jc w:val="center"/>
            </w:pPr>
            <w:r w:rsidRPr="00744AD6">
              <w:rPr>
                <w:b/>
              </w:rPr>
              <w:t>Dentsu</w:t>
            </w:r>
          </w:p>
          <w:p w14:paraId="79E09568" w14:textId="77777777" w:rsidR="009956F7" w:rsidRPr="003711E0" w:rsidRDefault="009956F7" w:rsidP="00744AD6">
            <w:pPr>
              <w:jc w:val="center"/>
            </w:pPr>
            <w:r w:rsidRPr="003711E0">
              <w:t>Rachel Bornais</w:t>
            </w:r>
          </w:p>
          <w:p w14:paraId="37D0A8BF" w14:textId="77777777" w:rsidR="009956F7" w:rsidRPr="003711E0" w:rsidRDefault="00EE3D7A" w:rsidP="00744AD6">
            <w:pPr>
              <w:jc w:val="center"/>
              <w:rPr>
                <w:rStyle w:val="Lienhypertexte"/>
                <w:sz w:val="16"/>
                <w:szCs w:val="18"/>
              </w:rPr>
            </w:pPr>
            <w:hyperlink r:id="rId14" w:history="1">
              <w:r w:rsidR="009956F7" w:rsidRPr="003711E0">
                <w:rPr>
                  <w:rStyle w:val="Lienhypertexte"/>
                  <w:sz w:val="16"/>
                  <w:szCs w:val="18"/>
                </w:rPr>
                <w:t>rachel.bornais@dentsuaegis.com</w:t>
              </w:r>
            </w:hyperlink>
          </w:p>
          <w:p w14:paraId="5AE68BDD" w14:textId="77777777" w:rsidR="009956F7" w:rsidRPr="003711E0" w:rsidRDefault="009956F7" w:rsidP="00744AD6">
            <w:pPr>
              <w:jc w:val="center"/>
              <w:rPr>
                <w:b/>
              </w:rPr>
            </w:pPr>
            <w:r w:rsidRPr="00452DEE">
              <w:rPr>
                <w:sz w:val="16"/>
              </w:rPr>
              <w:t>01 41 16 44 48  / 07 75 27 20 11</w:t>
            </w:r>
          </w:p>
        </w:tc>
        <w:tc>
          <w:tcPr>
            <w:tcW w:w="0" w:type="auto"/>
          </w:tcPr>
          <w:p w14:paraId="59908D60" w14:textId="77777777" w:rsidR="009956F7" w:rsidRPr="00744AD6" w:rsidRDefault="009956F7" w:rsidP="00744AD6">
            <w:pPr>
              <w:pStyle w:val="InrapContacts"/>
              <w:jc w:val="center"/>
              <w:rPr>
                <w:b/>
              </w:rPr>
            </w:pPr>
            <w:r w:rsidRPr="00744AD6">
              <w:rPr>
                <w:b/>
              </w:rPr>
              <w:t>Société du Grand Paris</w:t>
            </w:r>
          </w:p>
          <w:p w14:paraId="198C91E4" w14:textId="77777777" w:rsidR="009956F7" w:rsidRPr="00FB654C" w:rsidRDefault="00EE3D7A" w:rsidP="00744AD6">
            <w:pPr>
              <w:pStyle w:val="Normal1"/>
              <w:spacing w:after="0" w:line="240" w:lineRule="auto"/>
              <w:jc w:val="center"/>
              <w:rPr>
                <w:rStyle w:val="Lienhypertexte"/>
                <w:rFonts w:asciiTheme="minorHAnsi" w:hAnsiTheme="minorHAnsi" w:cs="Arial"/>
                <w:w w:val="90"/>
                <w:sz w:val="16"/>
                <w:szCs w:val="18"/>
                <w:lang w:bidi="ar-SA"/>
              </w:rPr>
            </w:pPr>
            <w:hyperlink r:id="rId15">
              <w:r w:rsidR="009956F7" w:rsidRPr="003711E0">
                <w:rPr>
                  <w:rStyle w:val="Lienhypertexte"/>
                  <w:rFonts w:asciiTheme="minorHAnsi" w:hAnsiTheme="minorHAnsi" w:cs="Arial"/>
                  <w:sz w:val="16"/>
                  <w:szCs w:val="18"/>
                  <w:lang w:eastAsia="fr-FR" w:bidi="ar-SA"/>
                </w:rPr>
                <w:t>presse.sgp@quaitrois.fr</w:t>
              </w:r>
            </w:hyperlink>
          </w:p>
          <w:p w14:paraId="40C58E87" w14:textId="77777777" w:rsidR="009956F7" w:rsidRPr="007B33A1" w:rsidRDefault="009956F7" w:rsidP="00744AD6">
            <w:pPr>
              <w:pStyle w:val="Pa2"/>
              <w:spacing w:line="240" w:lineRule="auto"/>
              <w:jc w:val="center"/>
              <w:rPr>
                <w:rFonts w:asciiTheme="minorHAnsi" w:hAnsiTheme="minorHAnsi" w:cs="Times New Roman"/>
                <w:color w:val="auto"/>
                <w:sz w:val="16"/>
                <w:szCs w:val="18"/>
                <w:lang w:eastAsia="fr-FR" w:bidi="ar-SA"/>
              </w:rPr>
            </w:pPr>
            <w:r w:rsidRPr="007B33A1">
              <w:rPr>
                <w:rFonts w:asciiTheme="minorHAnsi" w:hAnsiTheme="minorHAnsi" w:cs="Times New Roman"/>
                <w:color w:val="auto"/>
                <w:sz w:val="16"/>
                <w:szCs w:val="18"/>
                <w:lang w:eastAsia="fr-FR" w:bidi="ar-SA"/>
              </w:rPr>
              <w:t>Hugues Vanhoucke 01 40 41 56 13</w:t>
            </w:r>
          </w:p>
          <w:p w14:paraId="75F99B72" w14:textId="77777777" w:rsidR="009956F7" w:rsidRPr="007B33A1" w:rsidRDefault="009956F7" w:rsidP="00744AD6">
            <w:pPr>
              <w:pStyle w:val="Pa2"/>
              <w:spacing w:line="240" w:lineRule="auto"/>
              <w:jc w:val="center"/>
              <w:rPr>
                <w:rFonts w:asciiTheme="minorHAnsi" w:hAnsiTheme="minorHAnsi" w:cs="Times New Roman"/>
                <w:color w:val="auto"/>
                <w:sz w:val="16"/>
                <w:szCs w:val="18"/>
                <w:lang w:eastAsia="fr-FR" w:bidi="ar-SA"/>
              </w:rPr>
            </w:pPr>
            <w:r w:rsidRPr="007B33A1">
              <w:rPr>
                <w:rFonts w:asciiTheme="minorHAnsi" w:hAnsiTheme="minorHAnsi" w:cs="Times New Roman"/>
                <w:color w:val="auto"/>
                <w:sz w:val="16"/>
                <w:szCs w:val="18"/>
                <w:lang w:eastAsia="fr-FR" w:bidi="ar-SA"/>
              </w:rPr>
              <w:t>Camille Ruols 01 40 41 54 96</w:t>
            </w:r>
          </w:p>
          <w:p w14:paraId="03CD4C6B" w14:textId="77777777" w:rsidR="009956F7" w:rsidRPr="003711E0" w:rsidRDefault="009956F7" w:rsidP="00744AD6">
            <w:pPr>
              <w:pStyle w:val="Pa2"/>
              <w:spacing w:line="240" w:lineRule="auto"/>
              <w:jc w:val="center"/>
              <w:rPr>
                <w:rFonts w:asciiTheme="minorHAnsi" w:hAnsiTheme="minorHAnsi"/>
                <w:b/>
                <w:sz w:val="16"/>
                <w:szCs w:val="18"/>
              </w:rPr>
            </w:pPr>
            <w:r w:rsidRPr="007B33A1">
              <w:rPr>
                <w:rFonts w:asciiTheme="minorHAnsi" w:hAnsiTheme="minorHAnsi" w:cs="Times New Roman"/>
                <w:color w:val="auto"/>
                <w:sz w:val="16"/>
                <w:szCs w:val="18"/>
                <w:lang w:eastAsia="fr-FR" w:bidi="ar-SA"/>
              </w:rPr>
              <w:t>Xavier Bossaert 01 40 41 54 34</w:t>
            </w:r>
          </w:p>
        </w:tc>
      </w:tr>
    </w:tbl>
    <w:p w14:paraId="7A6B983E" w14:textId="77777777" w:rsidR="009956F7" w:rsidRDefault="009956F7" w:rsidP="00744AD6">
      <w:pPr>
        <w:jc w:val="center"/>
      </w:pPr>
    </w:p>
    <w:p w14:paraId="0CBC7159" w14:textId="77777777" w:rsidR="00020AE9" w:rsidRPr="00744AD6" w:rsidRDefault="00020AE9" w:rsidP="00744AD6">
      <w:pPr>
        <w:jc w:val="center"/>
        <w:rPr>
          <w:b/>
        </w:rPr>
      </w:pPr>
      <w:r w:rsidRPr="00744AD6">
        <w:rPr>
          <w:b/>
        </w:rPr>
        <w:t>CAISSE DES DEPOTS</w:t>
      </w:r>
    </w:p>
    <w:p w14:paraId="34550952" w14:textId="77777777" w:rsidR="00020AE9" w:rsidRPr="00020AE9" w:rsidRDefault="00020AE9" w:rsidP="00744AD6">
      <w:pPr>
        <w:jc w:val="center"/>
        <w:rPr>
          <w:noProof/>
          <w:lang w:eastAsia="fr-FR"/>
        </w:rPr>
      </w:pPr>
      <w:r w:rsidRPr="00744AD6">
        <w:rPr>
          <w:noProof/>
          <w:sz w:val="16"/>
          <w:lang w:eastAsia="fr-FR"/>
        </w:rPr>
        <w:t>service presse : +33 1 58 50 40 00</w:t>
      </w:r>
      <w:r w:rsidR="00744AD6">
        <w:rPr>
          <w:noProof/>
          <w:sz w:val="16"/>
          <w:lang w:eastAsia="fr-FR"/>
        </w:rPr>
        <w:br/>
      </w:r>
      <w:r w:rsidRPr="00744AD6">
        <w:rPr>
          <w:noProof/>
          <w:sz w:val="16"/>
          <w:lang w:eastAsia="fr-FR"/>
        </w:rPr>
        <w:drawing>
          <wp:inline distT="0" distB="0" distL="0" distR="0" wp14:anchorId="7C91135D" wp14:editId="64A0D616">
            <wp:extent cx="152400" cy="1238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2400" cy="123825"/>
                    </a:xfrm>
                    <a:prstGeom prst="rect">
                      <a:avLst/>
                    </a:prstGeom>
                    <a:noFill/>
                    <a:ln>
                      <a:noFill/>
                    </a:ln>
                  </pic:spPr>
                </pic:pic>
              </a:graphicData>
            </a:graphic>
          </wp:inline>
        </w:drawing>
      </w:r>
      <w:r w:rsidRPr="00744AD6">
        <w:rPr>
          <w:noProof/>
          <w:sz w:val="16"/>
          <w:lang w:eastAsia="fr-FR"/>
        </w:rPr>
        <w:t>@CaissedesDepots</w:t>
      </w:r>
    </w:p>
    <w:sectPr w:rsidR="00020AE9" w:rsidRPr="00020AE9" w:rsidSect="00452DEE">
      <w:headerReference w:type="first" r:id="rId17"/>
      <w:footerReference w:type="first" r:id="rId18"/>
      <w:pgSz w:w="11906" w:h="16838"/>
      <w:pgMar w:top="1134" w:right="1133"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07DB9" w14:textId="77777777" w:rsidR="00E92D27" w:rsidRDefault="00E92D27" w:rsidP="001203E1">
      <w:r>
        <w:separator/>
      </w:r>
    </w:p>
  </w:endnote>
  <w:endnote w:type="continuationSeparator" w:id="0">
    <w:p w14:paraId="3752883D" w14:textId="77777777" w:rsidR="00E92D27" w:rsidRDefault="00E92D27" w:rsidP="00120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rand Paris 20">
    <w:panose1 w:val="00000000000000000000"/>
    <w:charset w:val="00"/>
    <w:family w:val="modern"/>
    <w:notTrueType/>
    <w:pitch w:val="variable"/>
    <w:sig w:usb0="A000002F" w:usb1="5000E07B"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B653" w14:textId="77777777" w:rsidR="005201A7" w:rsidRDefault="004246DC" w:rsidP="001203E1">
    <w:pPr>
      <w:pStyle w:val="Pieddepage"/>
      <w:rPr>
        <w:color w:val="17365D" w:themeColor="text2" w:themeShade="BF"/>
        <w:sz w:val="16"/>
        <w:szCs w:val="16"/>
      </w:rPr>
    </w:pPr>
    <w:r>
      <w:rPr>
        <w:noProof/>
        <w:lang w:eastAsia="fr-FR"/>
      </w:rPr>
      <w:drawing>
        <wp:anchor distT="0" distB="0" distL="114300" distR="114300" simplePos="0" relativeHeight="251662336" behindDoc="1" locked="0" layoutInCell="1" allowOverlap="1" wp14:anchorId="66EE758C" wp14:editId="65206C8D">
          <wp:simplePos x="0" y="0"/>
          <wp:positionH relativeFrom="margin">
            <wp:posOffset>5541010</wp:posOffset>
          </wp:positionH>
          <wp:positionV relativeFrom="paragraph">
            <wp:posOffset>13335</wp:posOffset>
          </wp:positionV>
          <wp:extent cx="1036320" cy="525145"/>
          <wp:effectExtent l="0" t="0" r="0" b="8255"/>
          <wp:wrapTight wrapText="bothSides">
            <wp:wrapPolygon edited="0">
              <wp:start x="0" y="0"/>
              <wp:lineTo x="0" y="21156"/>
              <wp:lineTo x="21044" y="21156"/>
              <wp:lineTo x="21044"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pied_page_V2.jpg"/>
                  <pic:cNvPicPr/>
                </pic:nvPicPr>
                <pic:blipFill rotWithShape="1">
                  <a:blip r:embed="rId1" cstate="print">
                    <a:extLst>
                      <a:ext uri="{28A0092B-C50C-407E-A947-70E740481C1C}">
                        <a14:useLocalDpi xmlns:a14="http://schemas.microsoft.com/office/drawing/2010/main" val="0"/>
                      </a:ext>
                    </a:extLst>
                  </a:blip>
                  <a:srcRect l="33540" t="19104" r="57103" b="24776"/>
                  <a:stretch/>
                </pic:blipFill>
                <pic:spPr bwMode="auto">
                  <a:xfrm>
                    <a:off x="0" y="0"/>
                    <a:ext cx="1036320" cy="52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0327F" w14:textId="77777777" w:rsidR="00585A39" w:rsidRPr="001817E3" w:rsidRDefault="00585A39" w:rsidP="001203E1">
    <w:pPr>
      <w:pStyle w:val="Pieddepage"/>
    </w:pPr>
    <w:r w:rsidRPr="001817E3">
      <w:t>EN PARTENARIAT AVEC :</w:t>
    </w:r>
    <w:r>
      <w:t xml:space="preserve"> </w:t>
    </w:r>
  </w:p>
  <w:p w14:paraId="234DE949" w14:textId="77777777" w:rsidR="00585A39" w:rsidRDefault="00585A39" w:rsidP="001203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1FB36" w14:textId="77777777" w:rsidR="00E92D27" w:rsidRDefault="00E92D27" w:rsidP="001203E1">
      <w:r>
        <w:separator/>
      </w:r>
    </w:p>
  </w:footnote>
  <w:footnote w:type="continuationSeparator" w:id="0">
    <w:p w14:paraId="4A80BE00" w14:textId="77777777" w:rsidR="00E92D27" w:rsidRDefault="00E92D27" w:rsidP="001203E1">
      <w:r>
        <w:continuationSeparator/>
      </w:r>
    </w:p>
  </w:footnote>
  <w:footnote w:id="1">
    <w:p w14:paraId="27F13E42" w14:textId="77777777" w:rsidR="002629E2" w:rsidRDefault="002629E2" w:rsidP="001203E1">
      <w:pPr>
        <w:pStyle w:val="Notedebasdepage"/>
      </w:pPr>
      <w:r w:rsidRPr="002F7072">
        <w:rPr>
          <w:rStyle w:val="Appelnotedebasdep"/>
          <w:sz w:val="18"/>
        </w:rPr>
        <w:footnoteRef/>
      </w:r>
      <w:r w:rsidRPr="002F7072">
        <w:rPr>
          <w:sz w:val="18"/>
        </w:rPr>
        <w:t xml:space="preserve"> données </w:t>
      </w:r>
      <w:r w:rsidR="005201A7" w:rsidRPr="002F7072">
        <w:rPr>
          <w:sz w:val="18"/>
        </w:rPr>
        <w:t>DRIEA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EB62E" w14:textId="77777777" w:rsidR="00585A39" w:rsidRDefault="00585A39" w:rsidP="001203E1">
    <w:pPr>
      <w:pStyle w:val="En-tte"/>
    </w:pPr>
    <w:r>
      <w:rPr>
        <w:noProof/>
        <w:lang w:eastAsia="fr-FR"/>
      </w:rPr>
      <w:drawing>
        <wp:anchor distT="0" distB="0" distL="114300" distR="114300" simplePos="0" relativeHeight="251660288" behindDoc="1" locked="0" layoutInCell="1" allowOverlap="1" wp14:anchorId="2017B9C1" wp14:editId="493DE7B2">
          <wp:simplePos x="0" y="0"/>
          <wp:positionH relativeFrom="column">
            <wp:posOffset>323519</wp:posOffset>
          </wp:positionH>
          <wp:positionV relativeFrom="paragraph">
            <wp:posOffset>-635</wp:posOffset>
          </wp:positionV>
          <wp:extent cx="5153025" cy="1322705"/>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pied_page_V2.jpg"/>
                  <pic:cNvPicPr/>
                </pic:nvPicPr>
                <pic:blipFill rotWithShape="1">
                  <a:blip r:embed="rId1" cstate="print">
                    <a:extLst>
                      <a:ext uri="{28A0092B-C50C-407E-A947-70E740481C1C}">
                        <a14:useLocalDpi xmlns:a14="http://schemas.microsoft.com/office/drawing/2010/main" val="0"/>
                      </a:ext>
                    </a:extLst>
                  </a:blip>
                  <a:srcRect r="67095"/>
                  <a:stretch/>
                </pic:blipFill>
                <pic:spPr bwMode="auto">
                  <a:xfrm>
                    <a:off x="0" y="0"/>
                    <a:ext cx="5153025"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0pt;height:456pt;visibility:visible;mso-wrap-style:square" o:bullet="t">
        <v:imagedata r:id="rId1" o:title=""/>
      </v:shape>
    </w:pict>
  </w:numPicBullet>
  <w:abstractNum w:abstractNumId="0" w15:restartNumberingAfterBreak="0">
    <w:nsid w:val="0C5A0F10"/>
    <w:multiLevelType w:val="hybridMultilevel"/>
    <w:tmpl w:val="3AE49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7A70D9"/>
    <w:multiLevelType w:val="hybridMultilevel"/>
    <w:tmpl w:val="B02632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1112059"/>
    <w:multiLevelType w:val="hybridMultilevel"/>
    <w:tmpl w:val="1CD8FF7C"/>
    <w:lvl w:ilvl="0" w:tplc="89E46326">
      <w:start w:val="1"/>
      <w:numFmt w:val="bullet"/>
      <w:lvlText w:val="-"/>
      <w:lvlJc w:val="left"/>
      <w:pPr>
        <w:ind w:left="720" w:hanging="360"/>
      </w:pPr>
      <w:rPr>
        <w:rFonts w:ascii="Calibri Light" w:eastAsia="Calibri" w:hAnsi="Calibri Ligh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47B01FB"/>
    <w:multiLevelType w:val="hybridMultilevel"/>
    <w:tmpl w:val="47586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C4551E"/>
    <w:multiLevelType w:val="hybridMultilevel"/>
    <w:tmpl w:val="31EA2B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F95542"/>
    <w:multiLevelType w:val="hybridMultilevel"/>
    <w:tmpl w:val="179C2B90"/>
    <w:lvl w:ilvl="0" w:tplc="9FC007FA">
      <w:start w:val="1"/>
      <w:numFmt w:val="bullet"/>
      <w:lvlText w:val=""/>
      <w:lvlPicBulletId w:val="0"/>
      <w:lvlJc w:val="left"/>
      <w:pPr>
        <w:tabs>
          <w:tab w:val="num" w:pos="3192"/>
        </w:tabs>
        <w:ind w:left="3192" w:hanging="360"/>
      </w:pPr>
      <w:rPr>
        <w:rFonts w:ascii="Symbol" w:hAnsi="Symbol" w:hint="default"/>
      </w:rPr>
    </w:lvl>
    <w:lvl w:ilvl="1" w:tplc="3B6871FC" w:tentative="1">
      <w:start w:val="1"/>
      <w:numFmt w:val="bullet"/>
      <w:lvlText w:val=""/>
      <w:lvlJc w:val="left"/>
      <w:pPr>
        <w:tabs>
          <w:tab w:val="num" w:pos="3912"/>
        </w:tabs>
        <w:ind w:left="3912" w:hanging="360"/>
      </w:pPr>
      <w:rPr>
        <w:rFonts w:ascii="Symbol" w:hAnsi="Symbol" w:hint="default"/>
      </w:rPr>
    </w:lvl>
    <w:lvl w:ilvl="2" w:tplc="3CAE718C" w:tentative="1">
      <w:start w:val="1"/>
      <w:numFmt w:val="bullet"/>
      <w:lvlText w:val=""/>
      <w:lvlJc w:val="left"/>
      <w:pPr>
        <w:tabs>
          <w:tab w:val="num" w:pos="4632"/>
        </w:tabs>
        <w:ind w:left="4632" w:hanging="360"/>
      </w:pPr>
      <w:rPr>
        <w:rFonts w:ascii="Symbol" w:hAnsi="Symbol" w:hint="default"/>
      </w:rPr>
    </w:lvl>
    <w:lvl w:ilvl="3" w:tplc="AB9C05FC" w:tentative="1">
      <w:start w:val="1"/>
      <w:numFmt w:val="bullet"/>
      <w:lvlText w:val=""/>
      <w:lvlJc w:val="left"/>
      <w:pPr>
        <w:tabs>
          <w:tab w:val="num" w:pos="5352"/>
        </w:tabs>
        <w:ind w:left="5352" w:hanging="360"/>
      </w:pPr>
      <w:rPr>
        <w:rFonts w:ascii="Symbol" w:hAnsi="Symbol" w:hint="default"/>
      </w:rPr>
    </w:lvl>
    <w:lvl w:ilvl="4" w:tplc="D17C24B6" w:tentative="1">
      <w:start w:val="1"/>
      <w:numFmt w:val="bullet"/>
      <w:lvlText w:val=""/>
      <w:lvlJc w:val="left"/>
      <w:pPr>
        <w:tabs>
          <w:tab w:val="num" w:pos="6072"/>
        </w:tabs>
        <w:ind w:left="6072" w:hanging="360"/>
      </w:pPr>
      <w:rPr>
        <w:rFonts w:ascii="Symbol" w:hAnsi="Symbol" w:hint="default"/>
      </w:rPr>
    </w:lvl>
    <w:lvl w:ilvl="5" w:tplc="A73658F6" w:tentative="1">
      <w:start w:val="1"/>
      <w:numFmt w:val="bullet"/>
      <w:lvlText w:val=""/>
      <w:lvlJc w:val="left"/>
      <w:pPr>
        <w:tabs>
          <w:tab w:val="num" w:pos="6792"/>
        </w:tabs>
        <w:ind w:left="6792" w:hanging="360"/>
      </w:pPr>
      <w:rPr>
        <w:rFonts w:ascii="Symbol" w:hAnsi="Symbol" w:hint="default"/>
      </w:rPr>
    </w:lvl>
    <w:lvl w:ilvl="6" w:tplc="39025898" w:tentative="1">
      <w:start w:val="1"/>
      <w:numFmt w:val="bullet"/>
      <w:lvlText w:val=""/>
      <w:lvlJc w:val="left"/>
      <w:pPr>
        <w:tabs>
          <w:tab w:val="num" w:pos="7512"/>
        </w:tabs>
        <w:ind w:left="7512" w:hanging="360"/>
      </w:pPr>
      <w:rPr>
        <w:rFonts w:ascii="Symbol" w:hAnsi="Symbol" w:hint="default"/>
      </w:rPr>
    </w:lvl>
    <w:lvl w:ilvl="7" w:tplc="1F708BE4" w:tentative="1">
      <w:start w:val="1"/>
      <w:numFmt w:val="bullet"/>
      <w:lvlText w:val=""/>
      <w:lvlJc w:val="left"/>
      <w:pPr>
        <w:tabs>
          <w:tab w:val="num" w:pos="8232"/>
        </w:tabs>
        <w:ind w:left="8232" w:hanging="360"/>
      </w:pPr>
      <w:rPr>
        <w:rFonts w:ascii="Symbol" w:hAnsi="Symbol" w:hint="default"/>
      </w:rPr>
    </w:lvl>
    <w:lvl w:ilvl="8" w:tplc="47E23258" w:tentative="1">
      <w:start w:val="1"/>
      <w:numFmt w:val="bullet"/>
      <w:lvlText w:val=""/>
      <w:lvlJc w:val="left"/>
      <w:pPr>
        <w:tabs>
          <w:tab w:val="num" w:pos="8952"/>
        </w:tabs>
        <w:ind w:left="8952" w:hanging="360"/>
      </w:pPr>
      <w:rPr>
        <w:rFonts w:ascii="Symbol" w:hAnsi="Symbol" w:hint="default"/>
      </w:rPr>
    </w:lvl>
  </w:abstractNum>
  <w:abstractNum w:abstractNumId="6" w15:restartNumberingAfterBreak="0">
    <w:nsid w:val="53257FDE"/>
    <w:multiLevelType w:val="hybridMultilevel"/>
    <w:tmpl w:val="F06CF314"/>
    <w:lvl w:ilvl="0" w:tplc="0C70A79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BE32091"/>
    <w:multiLevelType w:val="hybridMultilevel"/>
    <w:tmpl w:val="F74EFA42"/>
    <w:lvl w:ilvl="0" w:tplc="75C46158">
      <w:start w:val="59"/>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7C2CFC"/>
    <w:multiLevelType w:val="hybridMultilevel"/>
    <w:tmpl w:val="03F414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581576"/>
    <w:multiLevelType w:val="hybridMultilevel"/>
    <w:tmpl w:val="152EF980"/>
    <w:lvl w:ilvl="0" w:tplc="F8020488">
      <w:start w:val="100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8"/>
  </w:num>
  <w:num w:numId="5">
    <w:abstractNumId w:val="0"/>
  </w:num>
  <w:num w:numId="6">
    <w:abstractNumId w:val="1"/>
  </w:num>
  <w:num w:numId="7">
    <w:abstractNumId w:val="2"/>
  </w:num>
  <w:num w:numId="8">
    <w:abstractNumId w:val="9"/>
  </w:num>
  <w:num w:numId="9">
    <w:abstractNumId w:val="7"/>
  </w:num>
  <w:num w:numId="10">
    <w:abstractNumId w:val="6"/>
  </w:num>
  <w:num w:numId="11">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FD1"/>
    <w:rsid w:val="00005F25"/>
    <w:rsid w:val="00011520"/>
    <w:rsid w:val="00020AE9"/>
    <w:rsid w:val="000321CF"/>
    <w:rsid w:val="00050312"/>
    <w:rsid w:val="00055BC7"/>
    <w:rsid w:val="00066639"/>
    <w:rsid w:val="000668AB"/>
    <w:rsid w:val="000729C3"/>
    <w:rsid w:val="00095DEB"/>
    <w:rsid w:val="00096FD7"/>
    <w:rsid w:val="00097195"/>
    <w:rsid w:val="000C3166"/>
    <w:rsid w:val="000C5F64"/>
    <w:rsid w:val="000C613E"/>
    <w:rsid w:val="000C69C8"/>
    <w:rsid w:val="000D0B11"/>
    <w:rsid w:val="000D5C81"/>
    <w:rsid w:val="000E0382"/>
    <w:rsid w:val="000E660D"/>
    <w:rsid w:val="000F1E08"/>
    <w:rsid w:val="000F3191"/>
    <w:rsid w:val="000F3785"/>
    <w:rsid w:val="000F5C92"/>
    <w:rsid w:val="001203E1"/>
    <w:rsid w:val="001308AF"/>
    <w:rsid w:val="00145AC0"/>
    <w:rsid w:val="001534F0"/>
    <w:rsid w:val="001545B6"/>
    <w:rsid w:val="0015655A"/>
    <w:rsid w:val="00164B40"/>
    <w:rsid w:val="00173A3D"/>
    <w:rsid w:val="001817E3"/>
    <w:rsid w:val="001853FE"/>
    <w:rsid w:val="001860FE"/>
    <w:rsid w:val="00195233"/>
    <w:rsid w:val="001A6535"/>
    <w:rsid w:val="001A66E4"/>
    <w:rsid w:val="001C1FB3"/>
    <w:rsid w:val="001C4FD6"/>
    <w:rsid w:val="001F0644"/>
    <w:rsid w:val="001F2C54"/>
    <w:rsid w:val="001F5233"/>
    <w:rsid w:val="0020264B"/>
    <w:rsid w:val="00203614"/>
    <w:rsid w:val="00221356"/>
    <w:rsid w:val="002236D1"/>
    <w:rsid w:val="00226D14"/>
    <w:rsid w:val="002611F2"/>
    <w:rsid w:val="0026255C"/>
    <w:rsid w:val="002629E2"/>
    <w:rsid w:val="00276D8A"/>
    <w:rsid w:val="002827C3"/>
    <w:rsid w:val="002B53A0"/>
    <w:rsid w:val="002C1F11"/>
    <w:rsid w:val="002C7A54"/>
    <w:rsid w:val="002E322B"/>
    <w:rsid w:val="002E797B"/>
    <w:rsid w:val="002F7072"/>
    <w:rsid w:val="00304DE1"/>
    <w:rsid w:val="003061BE"/>
    <w:rsid w:val="003178A7"/>
    <w:rsid w:val="003625DE"/>
    <w:rsid w:val="003711E0"/>
    <w:rsid w:val="00377EDC"/>
    <w:rsid w:val="00394148"/>
    <w:rsid w:val="003A0061"/>
    <w:rsid w:val="003A4819"/>
    <w:rsid w:val="003A79C8"/>
    <w:rsid w:val="003B78F5"/>
    <w:rsid w:val="003C0840"/>
    <w:rsid w:val="003C7D2A"/>
    <w:rsid w:val="004032F9"/>
    <w:rsid w:val="00421686"/>
    <w:rsid w:val="004246DC"/>
    <w:rsid w:val="00427E35"/>
    <w:rsid w:val="004411D1"/>
    <w:rsid w:val="00451C97"/>
    <w:rsid w:val="00452DEE"/>
    <w:rsid w:val="00470201"/>
    <w:rsid w:val="00472369"/>
    <w:rsid w:val="00482415"/>
    <w:rsid w:val="00484EC6"/>
    <w:rsid w:val="004902A7"/>
    <w:rsid w:val="0049317E"/>
    <w:rsid w:val="00495CAA"/>
    <w:rsid w:val="00496D91"/>
    <w:rsid w:val="004C660B"/>
    <w:rsid w:val="004D0F99"/>
    <w:rsid w:val="004D6DDD"/>
    <w:rsid w:val="004D7DA2"/>
    <w:rsid w:val="004F10FD"/>
    <w:rsid w:val="004F24A6"/>
    <w:rsid w:val="004F5D6D"/>
    <w:rsid w:val="004F5FCC"/>
    <w:rsid w:val="005022BE"/>
    <w:rsid w:val="005201A7"/>
    <w:rsid w:val="00527A52"/>
    <w:rsid w:val="00543CAF"/>
    <w:rsid w:val="005623BA"/>
    <w:rsid w:val="00576379"/>
    <w:rsid w:val="00585A39"/>
    <w:rsid w:val="00593B2B"/>
    <w:rsid w:val="0059401D"/>
    <w:rsid w:val="00594097"/>
    <w:rsid w:val="005976EF"/>
    <w:rsid w:val="005A776D"/>
    <w:rsid w:val="005A77EC"/>
    <w:rsid w:val="005B1C92"/>
    <w:rsid w:val="005E0BB0"/>
    <w:rsid w:val="005E1DE1"/>
    <w:rsid w:val="005F030A"/>
    <w:rsid w:val="005F6572"/>
    <w:rsid w:val="005F767B"/>
    <w:rsid w:val="00624F5B"/>
    <w:rsid w:val="0062514B"/>
    <w:rsid w:val="006261A0"/>
    <w:rsid w:val="006271BE"/>
    <w:rsid w:val="006339B0"/>
    <w:rsid w:val="006348B5"/>
    <w:rsid w:val="006440A3"/>
    <w:rsid w:val="00646E89"/>
    <w:rsid w:val="00650C78"/>
    <w:rsid w:val="00664958"/>
    <w:rsid w:val="006741A4"/>
    <w:rsid w:val="00674FA2"/>
    <w:rsid w:val="006911DC"/>
    <w:rsid w:val="00696723"/>
    <w:rsid w:val="006A288C"/>
    <w:rsid w:val="006A6CC2"/>
    <w:rsid w:val="006C05B7"/>
    <w:rsid w:val="006C720F"/>
    <w:rsid w:val="006D0D1E"/>
    <w:rsid w:val="006E3355"/>
    <w:rsid w:val="006F1B73"/>
    <w:rsid w:val="006F4E70"/>
    <w:rsid w:val="007176A1"/>
    <w:rsid w:val="00717ED4"/>
    <w:rsid w:val="00726E7C"/>
    <w:rsid w:val="007335A1"/>
    <w:rsid w:val="00744AD6"/>
    <w:rsid w:val="00757370"/>
    <w:rsid w:val="00760E97"/>
    <w:rsid w:val="00761708"/>
    <w:rsid w:val="0076251B"/>
    <w:rsid w:val="00770933"/>
    <w:rsid w:val="007904F8"/>
    <w:rsid w:val="00795964"/>
    <w:rsid w:val="00795FD3"/>
    <w:rsid w:val="007962B6"/>
    <w:rsid w:val="0079703C"/>
    <w:rsid w:val="007A71DA"/>
    <w:rsid w:val="007A7D2B"/>
    <w:rsid w:val="007B33A1"/>
    <w:rsid w:val="007C174E"/>
    <w:rsid w:val="007C343F"/>
    <w:rsid w:val="007D0783"/>
    <w:rsid w:val="007E591E"/>
    <w:rsid w:val="00806E49"/>
    <w:rsid w:val="00814506"/>
    <w:rsid w:val="008236AB"/>
    <w:rsid w:val="0082376A"/>
    <w:rsid w:val="00825093"/>
    <w:rsid w:val="00835BE0"/>
    <w:rsid w:val="00853C5C"/>
    <w:rsid w:val="008719D9"/>
    <w:rsid w:val="00892A96"/>
    <w:rsid w:val="008B72D7"/>
    <w:rsid w:val="008D432D"/>
    <w:rsid w:val="008F5836"/>
    <w:rsid w:val="009048AF"/>
    <w:rsid w:val="00912DAB"/>
    <w:rsid w:val="0093340E"/>
    <w:rsid w:val="0094601C"/>
    <w:rsid w:val="00953D7B"/>
    <w:rsid w:val="009758AA"/>
    <w:rsid w:val="009818B6"/>
    <w:rsid w:val="00981E8A"/>
    <w:rsid w:val="00983FE5"/>
    <w:rsid w:val="00986E42"/>
    <w:rsid w:val="009956F7"/>
    <w:rsid w:val="009A3EAD"/>
    <w:rsid w:val="009B4FCC"/>
    <w:rsid w:val="009B72A7"/>
    <w:rsid w:val="009C740C"/>
    <w:rsid w:val="009F6D8E"/>
    <w:rsid w:val="00A22F63"/>
    <w:rsid w:val="00A321AD"/>
    <w:rsid w:val="00A349C8"/>
    <w:rsid w:val="00A35D12"/>
    <w:rsid w:val="00A41834"/>
    <w:rsid w:val="00A42FD1"/>
    <w:rsid w:val="00A52013"/>
    <w:rsid w:val="00A55FC9"/>
    <w:rsid w:val="00A626D5"/>
    <w:rsid w:val="00A77A13"/>
    <w:rsid w:val="00A77EBD"/>
    <w:rsid w:val="00A8729A"/>
    <w:rsid w:val="00AA38CE"/>
    <w:rsid w:val="00AB2772"/>
    <w:rsid w:val="00AD6107"/>
    <w:rsid w:val="00AF34B4"/>
    <w:rsid w:val="00B01AF4"/>
    <w:rsid w:val="00B25054"/>
    <w:rsid w:val="00B67536"/>
    <w:rsid w:val="00B77926"/>
    <w:rsid w:val="00B82713"/>
    <w:rsid w:val="00BA4935"/>
    <w:rsid w:val="00BB20DD"/>
    <w:rsid w:val="00BB705D"/>
    <w:rsid w:val="00BD3521"/>
    <w:rsid w:val="00BD591A"/>
    <w:rsid w:val="00BE2ABF"/>
    <w:rsid w:val="00C35B43"/>
    <w:rsid w:val="00C36959"/>
    <w:rsid w:val="00C43FD6"/>
    <w:rsid w:val="00C62664"/>
    <w:rsid w:val="00C7152F"/>
    <w:rsid w:val="00C73AD5"/>
    <w:rsid w:val="00C75292"/>
    <w:rsid w:val="00C86A8E"/>
    <w:rsid w:val="00C86F60"/>
    <w:rsid w:val="00C947A1"/>
    <w:rsid w:val="00C95AAA"/>
    <w:rsid w:val="00CA42D8"/>
    <w:rsid w:val="00CA587A"/>
    <w:rsid w:val="00CC09E1"/>
    <w:rsid w:val="00CE192E"/>
    <w:rsid w:val="00CF33D4"/>
    <w:rsid w:val="00CF61E9"/>
    <w:rsid w:val="00D24DE2"/>
    <w:rsid w:val="00D403E8"/>
    <w:rsid w:val="00D41D4B"/>
    <w:rsid w:val="00D53C3C"/>
    <w:rsid w:val="00D53CC1"/>
    <w:rsid w:val="00D55704"/>
    <w:rsid w:val="00D63EA2"/>
    <w:rsid w:val="00D675E7"/>
    <w:rsid w:val="00D778B6"/>
    <w:rsid w:val="00D807FF"/>
    <w:rsid w:val="00D80FE2"/>
    <w:rsid w:val="00D8613D"/>
    <w:rsid w:val="00D972DC"/>
    <w:rsid w:val="00DB055E"/>
    <w:rsid w:val="00DB0948"/>
    <w:rsid w:val="00DB39A4"/>
    <w:rsid w:val="00DB59E6"/>
    <w:rsid w:val="00DE06CC"/>
    <w:rsid w:val="00DF1EED"/>
    <w:rsid w:val="00DF41C6"/>
    <w:rsid w:val="00E04DE8"/>
    <w:rsid w:val="00E10814"/>
    <w:rsid w:val="00E108CC"/>
    <w:rsid w:val="00E25802"/>
    <w:rsid w:val="00E26380"/>
    <w:rsid w:val="00E2735D"/>
    <w:rsid w:val="00E3516B"/>
    <w:rsid w:val="00E62169"/>
    <w:rsid w:val="00E772EB"/>
    <w:rsid w:val="00E82D1D"/>
    <w:rsid w:val="00E92CF9"/>
    <w:rsid w:val="00E92D27"/>
    <w:rsid w:val="00E966FC"/>
    <w:rsid w:val="00EB1A4D"/>
    <w:rsid w:val="00EB3F0F"/>
    <w:rsid w:val="00EE3D7A"/>
    <w:rsid w:val="00EF4E6A"/>
    <w:rsid w:val="00EF5133"/>
    <w:rsid w:val="00F14F09"/>
    <w:rsid w:val="00F26085"/>
    <w:rsid w:val="00F57869"/>
    <w:rsid w:val="00F7156E"/>
    <w:rsid w:val="00F76174"/>
    <w:rsid w:val="00F8106F"/>
    <w:rsid w:val="00F8157F"/>
    <w:rsid w:val="00F87CE2"/>
    <w:rsid w:val="00F91037"/>
    <w:rsid w:val="00F925A2"/>
    <w:rsid w:val="00FA2B63"/>
    <w:rsid w:val="00FA4F21"/>
    <w:rsid w:val="00FA7C41"/>
    <w:rsid w:val="00FB059B"/>
    <w:rsid w:val="00FB2134"/>
    <w:rsid w:val="00FB52DC"/>
    <w:rsid w:val="00FB652C"/>
    <w:rsid w:val="00FB654C"/>
    <w:rsid w:val="00FC4B6B"/>
    <w:rsid w:val="00FD5C63"/>
    <w:rsid w:val="00FF6D1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DC2F2"/>
  <w15:docId w15:val="{79D22B2E-E2A9-430A-AD95-8562B2607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03E1"/>
    <w:pPr>
      <w:spacing w:line="240" w:lineRule="auto"/>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D6DDD"/>
    <w:pPr>
      <w:tabs>
        <w:tab w:val="center" w:pos="4536"/>
        <w:tab w:val="right" w:pos="9072"/>
      </w:tabs>
      <w:spacing w:after="0"/>
    </w:pPr>
  </w:style>
  <w:style w:type="character" w:customStyle="1" w:styleId="En-tteCar">
    <w:name w:val="En-tête Car"/>
    <w:basedOn w:val="Policepardfaut"/>
    <w:link w:val="En-tte"/>
    <w:uiPriority w:val="99"/>
    <w:rsid w:val="004D6DDD"/>
  </w:style>
  <w:style w:type="paragraph" w:styleId="Pieddepage">
    <w:name w:val="footer"/>
    <w:basedOn w:val="Normal"/>
    <w:link w:val="PieddepageCar"/>
    <w:uiPriority w:val="99"/>
    <w:unhideWhenUsed/>
    <w:rsid w:val="004D6DDD"/>
    <w:pPr>
      <w:tabs>
        <w:tab w:val="center" w:pos="4536"/>
        <w:tab w:val="right" w:pos="9072"/>
      </w:tabs>
      <w:spacing w:after="0"/>
    </w:pPr>
  </w:style>
  <w:style w:type="character" w:customStyle="1" w:styleId="PieddepageCar">
    <w:name w:val="Pied de page Car"/>
    <w:basedOn w:val="Policepardfaut"/>
    <w:link w:val="Pieddepage"/>
    <w:uiPriority w:val="99"/>
    <w:rsid w:val="004D6DDD"/>
  </w:style>
  <w:style w:type="paragraph" w:styleId="Textedebulles">
    <w:name w:val="Balloon Text"/>
    <w:basedOn w:val="Normal"/>
    <w:link w:val="TextedebullesCar"/>
    <w:uiPriority w:val="99"/>
    <w:semiHidden/>
    <w:unhideWhenUsed/>
    <w:rsid w:val="004D6DD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D6DDD"/>
    <w:rPr>
      <w:rFonts w:ascii="Tahoma" w:hAnsi="Tahoma" w:cs="Tahoma"/>
      <w:sz w:val="16"/>
      <w:szCs w:val="16"/>
    </w:rPr>
  </w:style>
  <w:style w:type="character" w:styleId="Lienhypertexte">
    <w:name w:val="Hyperlink"/>
    <w:basedOn w:val="Policepardfaut"/>
    <w:uiPriority w:val="99"/>
    <w:unhideWhenUsed/>
    <w:rsid w:val="00A42FD1"/>
    <w:rPr>
      <w:color w:val="0000FF" w:themeColor="hyperlink"/>
      <w:u w:val="single"/>
    </w:rPr>
  </w:style>
  <w:style w:type="paragraph" w:styleId="Paragraphedeliste">
    <w:name w:val="List Paragraph"/>
    <w:basedOn w:val="Normal"/>
    <w:uiPriority w:val="34"/>
    <w:qFormat/>
    <w:rsid w:val="00A42FD1"/>
    <w:pPr>
      <w:spacing w:after="0"/>
      <w:ind w:left="720"/>
      <w:contextualSpacing/>
    </w:pPr>
    <w:rPr>
      <w:sz w:val="24"/>
      <w:szCs w:val="24"/>
      <w:lang w:eastAsia="fr-FR"/>
    </w:rPr>
  </w:style>
  <w:style w:type="table" w:styleId="Grilledutableau">
    <w:name w:val="Table Grid"/>
    <w:basedOn w:val="TableauNormal"/>
    <w:uiPriority w:val="59"/>
    <w:rsid w:val="00717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059B"/>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7A71DA"/>
    <w:rPr>
      <w:sz w:val="16"/>
      <w:szCs w:val="16"/>
    </w:rPr>
  </w:style>
  <w:style w:type="paragraph" w:styleId="Commentaire">
    <w:name w:val="annotation text"/>
    <w:basedOn w:val="Normal"/>
    <w:link w:val="CommentaireCar"/>
    <w:uiPriority w:val="99"/>
    <w:semiHidden/>
    <w:unhideWhenUsed/>
    <w:rsid w:val="007A71DA"/>
    <w:rPr>
      <w:sz w:val="20"/>
      <w:szCs w:val="20"/>
    </w:rPr>
  </w:style>
  <w:style w:type="character" w:customStyle="1" w:styleId="CommentaireCar">
    <w:name w:val="Commentaire Car"/>
    <w:basedOn w:val="Policepardfaut"/>
    <w:link w:val="Commentaire"/>
    <w:uiPriority w:val="99"/>
    <w:semiHidden/>
    <w:rsid w:val="007A71DA"/>
    <w:rPr>
      <w:sz w:val="20"/>
      <w:szCs w:val="20"/>
    </w:rPr>
  </w:style>
  <w:style w:type="paragraph" w:styleId="Objetducommentaire">
    <w:name w:val="annotation subject"/>
    <w:basedOn w:val="Commentaire"/>
    <w:next w:val="Commentaire"/>
    <w:link w:val="ObjetducommentaireCar"/>
    <w:uiPriority w:val="99"/>
    <w:semiHidden/>
    <w:unhideWhenUsed/>
    <w:rsid w:val="007A71DA"/>
    <w:rPr>
      <w:b/>
      <w:bCs/>
    </w:rPr>
  </w:style>
  <w:style w:type="character" w:customStyle="1" w:styleId="ObjetducommentaireCar">
    <w:name w:val="Objet du commentaire Car"/>
    <w:basedOn w:val="CommentaireCar"/>
    <w:link w:val="Objetducommentaire"/>
    <w:uiPriority w:val="99"/>
    <w:semiHidden/>
    <w:rsid w:val="007A71DA"/>
    <w:rPr>
      <w:b/>
      <w:bCs/>
      <w:sz w:val="20"/>
      <w:szCs w:val="20"/>
    </w:rPr>
  </w:style>
  <w:style w:type="paragraph" w:customStyle="1" w:styleId="InrapContacts">
    <w:name w:val="Inrap Contacts"/>
    <w:basedOn w:val="Normal"/>
    <w:rsid w:val="006A288C"/>
    <w:pPr>
      <w:spacing w:after="0" w:line="220" w:lineRule="exact"/>
    </w:pPr>
    <w:rPr>
      <w:rFonts w:ascii="Arial" w:eastAsia="Times New Roman" w:hAnsi="Arial" w:cs="Times New Roman"/>
      <w:sz w:val="16"/>
      <w:szCs w:val="20"/>
      <w:lang w:eastAsia="fr-FR"/>
    </w:rPr>
  </w:style>
  <w:style w:type="paragraph" w:customStyle="1" w:styleId="Normal1">
    <w:name w:val="Normal1"/>
    <w:rsid w:val="006A288C"/>
    <w:pPr>
      <w:widowControl w:val="0"/>
      <w:suppressAutoHyphens/>
      <w:spacing w:after="280" w:line="280" w:lineRule="atLeast"/>
      <w:contextualSpacing/>
      <w:textAlignment w:val="baseline"/>
    </w:pPr>
    <w:rPr>
      <w:rFonts w:ascii="Liberation Serif" w:eastAsia="SimSun" w:hAnsi="Liberation Serif" w:cs="Mangal"/>
      <w:color w:val="00000A"/>
      <w:sz w:val="24"/>
      <w:szCs w:val="24"/>
      <w:lang w:eastAsia="zh-CN" w:bidi="hi-IN"/>
    </w:rPr>
  </w:style>
  <w:style w:type="paragraph" w:customStyle="1" w:styleId="Pa2">
    <w:name w:val="Pa2"/>
    <w:basedOn w:val="Normal1"/>
    <w:next w:val="Normal1"/>
    <w:uiPriority w:val="99"/>
    <w:rsid w:val="006A288C"/>
    <w:pPr>
      <w:widowControl/>
      <w:spacing w:after="0" w:line="241" w:lineRule="atLeast"/>
    </w:pPr>
    <w:rPr>
      <w:rFonts w:ascii="Grand Paris 20" w:eastAsia="Times New Roman" w:hAnsi="Grand Paris 20" w:cs="Calibri"/>
      <w:lang w:eastAsia="en-US"/>
    </w:rPr>
  </w:style>
  <w:style w:type="character" w:customStyle="1" w:styleId="lieninternet">
    <w:name w:val="lieninternet"/>
    <w:basedOn w:val="Policepardfaut"/>
    <w:rsid w:val="006A288C"/>
  </w:style>
  <w:style w:type="paragraph" w:styleId="Notedebasdepage">
    <w:name w:val="footnote text"/>
    <w:basedOn w:val="Normal"/>
    <w:link w:val="NotedebasdepageCar"/>
    <w:uiPriority w:val="99"/>
    <w:unhideWhenUsed/>
    <w:rsid w:val="00664958"/>
    <w:pPr>
      <w:spacing w:after="0"/>
    </w:pPr>
    <w:rPr>
      <w:sz w:val="20"/>
      <w:szCs w:val="20"/>
    </w:rPr>
  </w:style>
  <w:style w:type="character" w:customStyle="1" w:styleId="NotedebasdepageCar">
    <w:name w:val="Note de bas de page Car"/>
    <w:basedOn w:val="Policepardfaut"/>
    <w:link w:val="Notedebasdepage"/>
    <w:uiPriority w:val="99"/>
    <w:rsid w:val="00664958"/>
    <w:rPr>
      <w:sz w:val="20"/>
      <w:szCs w:val="20"/>
    </w:rPr>
  </w:style>
  <w:style w:type="character" w:styleId="Appelnotedebasdep">
    <w:name w:val="footnote reference"/>
    <w:basedOn w:val="Policepardfaut"/>
    <w:uiPriority w:val="99"/>
    <w:semiHidden/>
    <w:unhideWhenUsed/>
    <w:rsid w:val="006649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286494">
      <w:bodyDiv w:val="1"/>
      <w:marLeft w:val="0"/>
      <w:marRight w:val="0"/>
      <w:marTop w:val="0"/>
      <w:marBottom w:val="0"/>
      <w:divBdr>
        <w:top w:val="none" w:sz="0" w:space="0" w:color="auto"/>
        <w:left w:val="none" w:sz="0" w:space="0" w:color="auto"/>
        <w:bottom w:val="none" w:sz="0" w:space="0" w:color="auto"/>
        <w:right w:val="none" w:sz="0" w:space="0" w:color="auto"/>
      </w:divBdr>
    </w:div>
    <w:div w:id="1101729438">
      <w:bodyDiv w:val="1"/>
      <w:marLeft w:val="0"/>
      <w:marRight w:val="0"/>
      <w:marTop w:val="0"/>
      <w:marBottom w:val="0"/>
      <w:divBdr>
        <w:top w:val="none" w:sz="0" w:space="0" w:color="auto"/>
        <w:left w:val="none" w:sz="0" w:space="0" w:color="auto"/>
        <w:bottom w:val="none" w:sz="0" w:space="0" w:color="auto"/>
        <w:right w:val="none" w:sz="0" w:space="0" w:color="auto"/>
      </w:divBdr>
    </w:div>
    <w:div w:id="1532108192">
      <w:bodyDiv w:val="1"/>
      <w:marLeft w:val="0"/>
      <w:marRight w:val="0"/>
      <w:marTop w:val="0"/>
      <w:marBottom w:val="0"/>
      <w:divBdr>
        <w:top w:val="none" w:sz="0" w:space="0" w:color="auto"/>
        <w:left w:val="none" w:sz="0" w:space="0" w:color="auto"/>
        <w:bottom w:val="none" w:sz="0" w:space="0" w:color="auto"/>
        <w:right w:val="none" w:sz="0" w:space="0" w:color="auto"/>
      </w:divBdr>
    </w:div>
    <w:div w:id="201518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ntonslametropoledugrandparis.fr" TargetMode="External"/><Relationship Id="rId13" Type="http://schemas.openxmlformats.org/officeDocument/2006/relationships/hyperlink" Target="https://protect-eu.mimecast.com/s/MLM5BhYRrEGUn?domain=prefectures-regions.gouv.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f-communication@paris.gouv.f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resse.sgp@quaitrois.f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chel.bornais@dentsuaegi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che01\Dropbox%20(Danc)\dossier%20partag&#233;\Delivery%20clients\M&#233;tropole%20du%20Grand%20Paris\Expression%20graphique\Mod&#232;les%20Word\modele_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B18F5-3742-45BE-8490-F6995D1AC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modele_2</Template>
  <TotalTime>24</TotalTime>
  <Pages>3</Pages>
  <Words>1396</Words>
  <Characters>7678</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AEGIS MEDIA FRANCE</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AMELIE ROCHETTE</dc:creator>
  <cp:lastModifiedBy>Martin Guespereau</cp:lastModifiedBy>
  <cp:revision>17</cp:revision>
  <cp:lastPrinted>2016-11-18T15:08:00Z</cp:lastPrinted>
  <dcterms:created xsi:type="dcterms:W3CDTF">2016-11-21T10:52:00Z</dcterms:created>
  <dcterms:modified xsi:type="dcterms:W3CDTF">2016-11-21T11:24:00Z</dcterms:modified>
</cp:coreProperties>
</file>